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F8" w:rsidRPr="007E46A3" w:rsidRDefault="00E41DB4" w:rsidP="00627BF8">
      <w:pPr>
        <w:pStyle w:val="Header"/>
        <w:tabs>
          <w:tab w:val="right" w:pos="8280"/>
          <w:tab w:val="right" w:pos="9639"/>
        </w:tabs>
        <w:jc w:val="both"/>
        <w:rPr>
          <w:rFonts w:cs="Arial"/>
          <w:noProof w:val="0"/>
          <w:sz w:val="24"/>
          <w:lang w:val="en-GB"/>
        </w:rPr>
      </w:pPr>
      <w:r>
        <w:rPr>
          <w:rFonts w:cs="Arial"/>
          <w:sz w:val="24"/>
          <w:szCs w:val="24"/>
        </w:rPr>
        <w:t>3GPP TSG-RAN WG4 Meeting #8</w:t>
      </w:r>
      <w:r w:rsidR="0005456B">
        <w:rPr>
          <w:rFonts w:cs="Arial"/>
          <w:sz w:val="24"/>
          <w:szCs w:val="24"/>
        </w:rPr>
        <w:t>9</w:t>
      </w:r>
      <w:r w:rsidR="00627BF8" w:rsidRPr="007E46A3">
        <w:rPr>
          <w:rFonts w:cs="Arial"/>
          <w:noProof w:val="0"/>
          <w:sz w:val="24"/>
          <w:lang w:val="en-GB"/>
        </w:rPr>
        <w:tab/>
      </w:r>
      <w:r w:rsidR="003912B7">
        <w:rPr>
          <w:rFonts w:cs="Arial"/>
          <w:noProof w:val="0"/>
          <w:sz w:val="24"/>
          <w:lang w:val="en-GB"/>
        </w:rPr>
        <w:tab/>
      </w:r>
      <w:r w:rsidR="003912B7" w:rsidRPr="003912B7">
        <w:rPr>
          <w:rFonts w:cs="Arial"/>
          <w:noProof w:val="0"/>
          <w:sz w:val="24"/>
          <w:lang w:val="en-GB"/>
        </w:rPr>
        <w:t>R4-1814551</w:t>
      </w:r>
    </w:p>
    <w:p w:rsidR="00627BF8" w:rsidRPr="002056B8" w:rsidRDefault="0005456B" w:rsidP="00627BF8">
      <w:pPr>
        <w:pStyle w:val="Header"/>
        <w:rPr>
          <w:noProof w:val="0"/>
          <w:sz w:val="24"/>
          <w:szCs w:val="24"/>
          <w:lang w:val="en-GB" w:eastAsia="zh-CN"/>
        </w:rPr>
      </w:pPr>
      <w:r>
        <w:rPr>
          <w:noProof w:val="0"/>
          <w:sz w:val="24"/>
          <w:szCs w:val="24"/>
          <w:lang w:val="en-GB" w:eastAsia="zh-CN"/>
        </w:rPr>
        <w:t>Spokane</w:t>
      </w:r>
      <w:r w:rsidR="00E41DB4">
        <w:rPr>
          <w:noProof w:val="0"/>
          <w:sz w:val="24"/>
          <w:szCs w:val="24"/>
          <w:lang w:val="en-GB" w:eastAsia="zh-CN"/>
        </w:rPr>
        <w:t xml:space="preserve">, </w:t>
      </w:r>
      <w:r>
        <w:rPr>
          <w:noProof w:val="0"/>
          <w:sz w:val="24"/>
          <w:szCs w:val="24"/>
          <w:lang w:val="en-GB" w:eastAsia="zh-CN"/>
        </w:rPr>
        <w:t>USA</w:t>
      </w:r>
      <w:r w:rsidR="00E41DB4">
        <w:rPr>
          <w:noProof w:val="0"/>
          <w:sz w:val="24"/>
          <w:szCs w:val="24"/>
          <w:lang w:val="en-GB" w:eastAsia="zh-CN"/>
        </w:rPr>
        <w:t xml:space="preserve">, </w:t>
      </w:r>
      <w:r>
        <w:rPr>
          <w:noProof w:val="0"/>
          <w:sz w:val="24"/>
          <w:szCs w:val="24"/>
          <w:lang w:val="en-GB" w:eastAsia="zh-CN"/>
        </w:rPr>
        <w:t>12</w:t>
      </w:r>
      <w:r w:rsidR="00E41DB4">
        <w:rPr>
          <w:noProof w:val="0"/>
          <w:sz w:val="24"/>
          <w:szCs w:val="24"/>
          <w:lang w:val="en-GB" w:eastAsia="zh-CN"/>
        </w:rPr>
        <w:t xml:space="preserve"> – 1</w:t>
      </w:r>
      <w:r>
        <w:rPr>
          <w:noProof w:val="0"/>
          <w:sz w:val="24"/>
          <w:szCs w:val="24"/>
          <w:lang w:val="en-GB" w:eastAsia="zh-CN"/>
        </w:rPr>
        <w:t>6</w:t>
      </w:r>
      <w:r w:rsidR="00E41DB4" w:rsidRPr="006514DE">
        <w:rPr>
          <w:noProof w:val="0"/>
          <w:sz w:val="24"/>
          <w:szCs w:val="24"/>
          <w:lang w:val="en-GB" w:eastAsia="zh-CN"/>
        </w:rPr>
        <w:t xml:space="preserve"> </w:t>
      </w:r>
      <w:r>
        <w:rPr>
          <w:noProof w:val="0"/>
          <w:sz w:val="24"/>
          <w:szCs w:val="24"/>
          <w:lang w:val="en-GB" w:eastAsia="zh-CN"/>
        </w:rPr>
        <w:t>November</w:t>
      </w:r>
      <w:r w:rsidR="00E41DB4">
        <w:rPr>
          <w:noProof w:val="0"/>
          <w:sz w:val="24"/>
          <w:szCs w:val="24"/>
          <w:lang w:val="en-GB" w:eastAsia="zh-CN"/>
        </w:rPr>
        <w:t xml:space="preserve"> </w:t>
      </w:r>
      <w:r w:rsidR="00E41DB4" w:rsidRPr="006514DE">
        <w:rPr>
          <w:noProof w:val="0"/>
          <w:sz w:val="24"/>
          <w:szCs w:val="24"/>
          <w:lang w:val="en-GB" w:eastAsia="zh-CN"/>
        </w:rPr>
        <w:t>2018</w:t>
      </w:r>
    </w:p>
    <w:p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E41DB4" w:rsidRPr="003912B7">
        <w:rPr>
          <w:rFonts w:ascii="Arial" w:hAnsi="Arial" w:cs="Arial"/>
          <w:b/>
          <w:sz w:val="24"/>
        </w:rPr>
        <w:t>11</w:t>
      </w:r>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3912B7">
        <w:rPr>
          <w:rFonts w:ascii="Arial" w:hAnsi="Arial" w:cs="Arial"/>
          <w:b/>
          <w:sz w:val="24"/>
        </w:rPr>
        <w:t>On NR V2X RF and RRM characteristics</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rsidR="004B515E" w:rsidRPr="00224A01" w:rsidRDefault="004B515E" w:rsidP="009C2D12">
      <w:pPr>
        <w:pStyle w:val="Heading1"/>
        <w:rPr>
          <w:lang w:val="en-US" w:eastAsia="zh-CN"/>
        </w:rPr>
      </w:pPr>
      <w:r w:rsidRPr="00224A01">
        <w:rPr>
          <w:lang w:val="en-US" w:eastAsia="zh-CN"/>
        </w:rPr>
        <w:t>Introduction</w:t>
      </w:r>
    </w:p>
    <w:p w:rsidR="00E41DB4" w:rsidRDefault="00E41DB4" w:rsidP="00844D93">
      <w:pPr>
        <w:jc w:val="both"/>
      </w:pPr>
      <w:r>
        <w:t>The RAN1 WG started work on the new Rel-16 NR V2X SI with the goal to introduce support of V2X communication technology for NR. RAN1 is discussing the basic physical layer design assumptions and send LS to RAN4 to clarify the RF/RRM design assumptions that could be applied to the NR V2X studies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1DB4" w:rsidRPr="00B41F00" w:rsidTr="00D6028B">
        <w:tc>
          <w:tcPr>
            <w:tcW w:w="9855" w:type="dxa"/>
            <w:tcBorders>
              <w:top w:val="single" w:sz="4" w:space="0" w:color="auto"/>
              <w:left w:val="single" w:sz="4" w:space="0" w:color="auto"/>
              <w:bottom w:val="single" w:sz="4" w:space="0" w:color="auto"/>
              <w:right w:val="single" w:sz="4" w:space="0" w:color="auto"/>
            </w:tcBorders>
            <w:shd w:val="clear" w:color="auto" w:fill="auto"/>
          </w:tcPr>
          <w:p w:rsidR="00E41DB4" w:rsidRPr="00B41F00" w:rsidRDefault="00E41DB4" w:rsidP="00D6028B">
            <w:pPr>
              <w:spacing w:before="0"/>
              <w:ind w:left="720" w:hanging="357"/>
              <w:jc w:val="both"/>
              <w:textAlignment w:val="auto"/>
              <w:rPr>
                <w:b/>
                <w:lang w:val="en-US"/>
              </w:rPr>
            </w:pPr>
            <w:r w:rsidRPr="00B41F00">
              <w:rPr>
                <w:b/>
                <w:lang w:val="en-US"/>
              </w:rPr>
              <w:t>1. Overall Description:</w:t>
            </w:r>
          </w:p>
          <w:p w:rsidR="00E41DB4" w:rsidRPr="00B41F00" w:rsidRDefault="00E41DB4" w:rsidP="00D6028B">
            <w:pPr>
              <w:spacing w:before="0"/>
              <w:ind w:left="426"/>
              <w:rPr>
                <w:lang w:val="en-US"/>
              </w:rPr>
            </w:pPr>
            <w:r w:rsidRPr="00B41F00">
              <w:rPr>
                <w:lang w:val="en-US"/>
              </w:rPr>
              <w:t xml:space="preserve">RAN1 is starting the study item on NR V2X (RP-181480). The objectives of the study include the sidelink interface for frequencies in FR1 and FR2 (i.e., up to 52.6 GHz), for both unlicensed ITS bands and licensed bands. </w:t>
            </w:r>
          </w:p>
          <w:p w:rsidR="00E41DB4" w:rsidRPr="00B41F00" w:rsidRDefault="00E41DB4" w:rsidP="00D6028B">
            <w:pPr>
              <w:spacing w:before="0"/>
              <w:ind w:left="426"/>
              <w:rPr>
                <w:lang w:val="en-US"/>
              </w:rPr>
            </w:pPr>
            <w:r w:rsidRPr="00B41F00">
              <w:rPr>
                <w:lang w:val="en-US"/>
              </w:rPr>
              <w:t>In RAN1#94, RAN1 has made the following agreements:</w:t>
            </w:r>
          </w:p>
          <w:tbl>
            <w:tblPr>
              <w:tblW w:w="0" w:type="auto"/>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9"/>
            </w:tblGrid>
            <w:tr w:rsidR="00E41DB4" w:rsidRPr="00B41F00" w:rsidTr="00CA644D">
              <w:tc>
                <w:tcPr>
                  <w:tcW w:w="7909" w:type="dxa"/>
                  <w:tcBorders>
                    <w:top w:val="single" w:sz="4" w:space="0" w:color="auto"/>
                    <w:left w:val="single" w:sz="4" w:space="0" w:color="auto"/>
                    <w:bottom w:val="single" w:sz="4" w:space="0" w:color="auto"/>
                    <w:right w:val="single" w:sz="4" w:space="0" w:color="auto"/>
                  </w:tcBorders>
                  <w:hideMark/>
                </w:tcPr>
                <w:p w:rsidR="00E41DB4" w:rsidRPr="00B41F00" w:rsidRDefault="00E41DB4" w:rsidP="00D6028B">
                  <w:pPr>
                    <w:spacing w:before="0" w:after="60"/>
                    <w:rPr>
                      <w:lang w:val="en-US" w:eastAsia="x-none"/>
                    </w:rPr>
                  </w:pPr>
                  <w:r w:rsidRPr="00B41F00">
                    <w:rPr>
                      <w:highlight w:val="green"/>
                      <w:lang w:val="en-US" w:eastAsia="x-none"/>
                    </w:rPr>
                    <w:t>Agreements</w:t>
                  </w:r>
                  <w:r w:rsidRPr="00B41F00">
                    <w:rPr>
                      <w:lang w:val="en-US" w:eastAsia="x-none"/>
                    </w:rPr>
                    <w:t>:</w:t>
                  </w:r>
                  <w:r w:rsidR="00CA644D">
                    <w:rPr>
                      <w:lang w:val="en-US" w:eastAsia="x-none"/>
                    </w:rPr>
                    <w:t xml:space="preserve"> </w:t>
                  </w:r>
                  <w:r w:rsidRPr="00B41F00">
                    <w:rPr>
                      <w:lang w:val="en-US" w:eastAsia="x-none"/>
                    </w:rPr>
                    <w:t>Agree the following assumptions as tentative assumptions for the simulation at least till RAN1#94bis</w:t>
                  </w:r>
                </w:p>
                <w:p w:rsidR="00E41DB4" w:rsidRPr="00B41F00" w:rsidRDefault="00E41DB4" w:rsidP="00023DD2">
                  <w:pPr>
                    <w:numPr>
                      <w:ilvl w:val="0"/>
                      <w:numId w:val="5"/>
                    </w:numPr>
                    <w:overflowPunct/>
                    <w:autoSpaceDE/>
                    <w:autoSpaceDN/>
                    <w:adjustRightInd/>
                    <w:spacing w:before="0" w:after="60"/>
                    <w:textAlignment w:val="auto"/>
                    <w:rPr>
                      <w:lang w:val="en-US"/>
                    </w:rPr>
                  </w:pPr>
                  <w:r w:rsidRPr="00B41F00">
                    <w:rPr>
                      <w:lang w:val="en-US"/>
                    </w:rPr>
                    <w:t>AGC</w:t>
                  </w:r>
                </w:p>
                <w:p w:rsidR="00E41DB4" w:rsidRPr="00B41F00" w:rsidRDefault="00E41DB4" w:rsidP="00023DD2">
                  <w:pPr>
                    <w:numPr>
                      <w:ilvl w:val="1"/>
                      <w:numId w:val="5"/>
                    </w:numPr>
                    <w:overflowPunct/>
                    <w:autoSpaceDE/>
                    <w:autoSpaceDN/>
                    <w:adjustRightInd/>
                    <w:spacing w:before="0" w:after="60"/>
                    <w:textAlignment w:val="auto"/>
                    <w:rPr>
                      <w:lang w:val="en-US"/>
                    </w:rPr>
                  </w:pPr>
                  <w:r w:rsidRPr="00B41F00">
                    <w:rPr>
                      <w:lang w:val="en-US"/>
                    </w:rPr>
                    <w:t>Up to [15] us in FR1. Up to [10] us in FR2.</w:t>
                  </w:r>
                </w:p>
                <w:p w:rsidR="00E41DB4" w:rsidRPr="00B41F00" w:rsidRDefault="00E41DB4" w:rsidP="00023DD2">
                  <w:pPr>
                    <w:numPr>
                      <w:ilvl w:val="0"/>
                      <w:numId w:val="5"/>
                    </w:numPr>
                    <w:overflowPunct/>
                    <w:autoSpaceDE/>
                    <w:autoSpaceDN/>
                    <w:adjustRightInd/>
                    <w:spacing w:before="0" w:after="60"/>
                    <w:textAlignment w:val="auto"/>
                    <w:rPr>
                      <w:lang w:val="en-US"/>
                    </w:rPr>
                  </w:pPr>
                  <w:r w:rsidRPr="00B41F00">
                    <w:rPr>
                      <w:lang w:val="en-US"/>
                    </w:rPr>
                    <w:t>TX/RX switching time</w:t>
                  </w:r>
                </w:p>
                <w:p w:rsidR="00E41DB4" w:rsidRPr="00B41F00" w:rsidRDefault="00E41DB4" w:rsidP="00023DD2">
                  <w:pPr>
                    <w:numPr>
                      <w:ilvl w:val="1"/>
                      <w:numId w:val="5"/>
                    </w:numPr>
                    <w:overflowPunct/>
                    <w:autoSpaceDE/>
                    <w:autoSpaceDN/>
                    <w:adjustRightInd/>
                    <w:spacing w:before="0" w:after="60"/>
                    <w:textAlignment w:val="auto"/>
                    <w:rPr>
                      <w:lang w:val="en-US"/>
                    </w:rPr>
                  </w:pPr>
                  <w:r w:rsidRPr="00B41F00">
                    <w:rPr>
                      <w:lang w:val="en-US"/>
                    </w:rPr>
                    <w:t>[13] us in FR1 and [7] us in FR2</w:t>
                  </w:r>
                </w:p>
                <w:p w:rsidR="00E41DB4" w:rsidRPr="00B41F00" w:rsidRDefault="00E41DB4" w:rsidP="00023DD2">
                  <w:pPr>
                    <w:numPr>
                      <w:ilvl w:val="0"/>
                      <w:numId w:val="5"/>
                    </w:numPr>
                    <w:overflowPunct/>
                    <w:autoSpaceDE/>
                    <w:autoSpaceDN/>
                    <w:adjustRightInd/>
                    <w:spacing w:before="0" w:after="60"/>
                    <w:textAlignment w:val="auto"/>
                    <w:rPr>
                      <w:lang w:val="en-US"/>
                    </w:rPr>
                  </w:pPr>
                  <w:r w:rsidRPr="00B41F00">
                    <w:rPr>
                      <w:lang w:val="en-US"/>
                    </w:rPr>
                    <w:t>Time error</w:t>
                  </w:r>
                </w:p>
                <w:p w:rsidR="00E41DB4" w:rsidRPr="00B41F00" w:rsidRDefault="00E41DB4" w:rsidP="00023DD2">
                  <w:pPr>
                    <w:numPr>
                      <w:ilvl w:val="1"/>
                      <w:numId w:val="5"/>
                    </w:numPr>
                    <w:overflowPunct/>
                    <w:autoSpaceDE/>
                    <w:autoSpaceDN/>
                    <w:adjustRightInd/>
                    <w:spacing w:before="0" w:after="60"/>
                    <w:textAlignment w:val="auto"/>
                    <w:rPr>
                      <w:lang w:val="en-US"/>
                    </w:rPr>
                  </w:pPr>
                  <w:r w:rsidRPr="00B41F00">
                    <w:rPr>
                      <w:lang w:val="en-US"/>
                    </w:rPr>
                    <w:t>Up to [0.4] us between a UE and its synchronization reference</w:t>
                  </w:r>
                </w:p>
                <w:p w:rsidR="00E41DB4" w:rsidRPr="00B41F00" w:rsidRDefault="00E41DB4" w:rsidP="00023DD2">
                  <w:pPr>
                    <w:numPr>
                      <w:ilvl w:val="0"/>
                      <w:numId w:val="5"/>
                    </w:numPr>
                    <w:overflowPunct/>
                    <w:autoSpaceDE/>
                    <w:autoSpaceDN/>
                    <w:adjustRightInd/>
                    <w:spacing w:before="0" w:after="60"/>
                    <w:textAlignment w:val="auto"/>
                    <w:rPr>
                      <w:lang w:val="en-US"/>
                    </w:rPr>
                  </w:pPr>
                  <w:r w:rsidRPr="00B41F00">
                    <w:rPr>
                      <w:lang w:val="en-US"/>
                    </w:rPr>
                    <w:t>Frequency error</w:t>
                  </w:r>
                </w:p>
                <w:p w:rsidR="00E41DB4" w:rsidRPr="00B41F00" w:rsidRDefault="00E41DB4" w:rsidP="00023DD2">
                  <w:pPr>
                    <w:numPr>
                      <w:ilvl w:val="1"/>
                      <w:numId w:val="5"/>
                    </w:numPr>
                    <w:overflowPunct/>
                    <w:autoSpaceDE/>
                    <w:autoSpaceDN/>
                    <w:adjustRightInd/>
                    <w:spacing w:before="0" w:after="60"/>
                    <w:textAlignment w:val="auto"/>
                    <w:rPr>
                      <w:lang w:val="en-US"/>
                    </w:rPr>
                  </w:pPr>
                  <w:r w:rsidRPr="00B41F00">
                    <w:rPr>
                      <w:lang w:val="en-US"/>
                    </w:rPr>
                    <w:t>Up to [0.1] PPM between a UE and its synchronization reference</w:t>
                  </w:r>
                </w:p>
              </w:tc>
            </w:tr>
          </w:tbl>
          <w:p w:rsidR="00E41DB4" w:rsidRDefault="00E41DB4" w:rsidP="00D6028B">
            <w:pPr>
              <w:spacing w:before="0"/>
              <w:ind w:left="426"/>
              <w:rPr>
                <w:lang w:val="en-US"/>
              </w:rPr>
            </w:pPr>
          </w:p>
          <w:p w:rsidR="00E41DB4" w:rsidRPr="00B41F00" w:rsidRDefault="00E41DB4" w:rsidP="00D6028B">
            <w:pPr>
              <w:spacing w:before="0"/>
              <w:ind w:left="426"/>
              <w:rPr>
                <w:lang w:val="en-US"/>
              </w:rPr>
            </w:pPr>
            <w:r w:rsidRPr="00B41F00">
              <w:rPr>
                <w:lang w:val="en-US"/>
              </w:rPr>
              <w:t>In addition, RAN1 has discussed the modelling of in-band emissions for evaluation of the performance of different technical solutions for sidelink. In LTE, the in-band emissions were modelled following Section A.2.1.5 in TR 36.843.</w:t>
            </w:r>
          </w:p>
          <w:p w:rsidR="00E41DB4" w:rsidRPr="00B41F00" w:rsidRDefault="00E41DB4" w:rsidP="00D6028B">
            <w:pPr>
              <w:spacing w:before="0"/>
              <w:ind w:left="426"/>
              <w:rPr>
                <w:lang w:val="en-US"/>
              </w:rPr>
            </w:pPr>
            <w:r w:rsidRPr="00B41F00">
              <w:rPr>
                <w:lang w:val="en-US"/>
              </w:rPr>
              <w:t>RAN1 has the following questions:</w:t>
            </w:r>
          </w:p>
          <w:p w:rsidR="00E41DB4" w:rsidRPr="00B41F00" w:rsidRDefault="00E41DB4" w:rsidP="00D6028B">
            <w:pPr>
              <w:spacing w:before="0"/>
              <w:ind w:left="426"/>
              <w:rPr>
                <w:b/>
                <w:lang w:val="en-US"/>
              </w:rPr>
            </w:pPr>
            <w:r w:rsidRPr="00B41F00">
              <w:rPr>
                <w:b/>
                <w:lang w:val="en-US"/>
              </w:rPr>
              <w:t>Question 1:</w:t>
            </w:r>
          </w:p>
          <w:p w:rsidR="00E41DB4" w:rsidRPr="00B41F00" w:rsidRDefault="00E41DB4" w:rsidP="00D6028B">
            <w:pPr>
              <w:spacing w:before="0"/>
              <w:ind w:left="426"/>
              <w:rPr>
                <w:lang w:val="en-US"/>
              </w:rPr>
            </w:pPr>
            <w:r w:rsidRPr="00B41F00">
              <w:rPr>
                <w:lang w:val="en-US"/>
              </w:rPr>
              <w:t>RAN1 would like to ask RAN4 to confirm the validity of the evaluation assumptions or provide guidance on appropriate values for:</w:t>
            </w:r>
          </w:p>
          <w:p w:rsidR="00E41DB4" w:rsidRPr="00B41F00" w:rsidRDefault="00E41DB4" w:rsidP="00023DD2">
            <w:pPr>
              <w:pStyle w:val="ListParagraph"/>
              <w:numPr>
                <w:ilvl w:val="0"/>
                <w:numId w:val="6"/>
              </w:numPr>
              <w:spacing w:before="0" w:after="120"/>
              <w:jc w:val="both"/>
              <w:rPr>
                <w:rFonts w:ascii="Times New Roman" w:eastAsia="SimSun" w:hAnsi="Times New Roman"/>
                <w:sz w:val="20"/>
                <w:szCs w:val="20"/>
              </w:rPr>
            </w:pPr>
            <w:r w:rsidRPr="00B41F00">
              <w:rPr>
                <w:rFonts w:ascii="Times New Roman" w:eastAsia="SimSun" w:hAnsi="Times New Roman"/>
                <w:sz w:val="20"/>
                <w:szCs w:val="20"/>
              </w:rPr>
              <w:t>AGC settling time.</w:t>
            </w:r>
          </w:p>
          <w:p w:rsidR="00E41DB4" w:rsidRPr="00B41F00" w:rsidRDefault="00E41DB4" w:rsidP="00023DD2">
            <w:pPr>
              <w:pStyle w:val="ListParagraph"/>
              <w:numPr>
                <w:ilvl w:val="0"/>
                <w:numId w:val="6"/>
              </w:numPr>
              <w:spacing w:before="0" w:after="120"/>
              <w:jc w:val="both"/>
              <w:rPr>
                <w:rFonts w:ascii="Times New Roman" w:eastAsia="SimSun" w:hAnsi="Times New Roman"/>
                <w:sz w:val="20"/>
                <w:szCs w:val="20"/>
              </w:rPr>
            </w:pPr>
            <w:r w:rsidRPr="00B41F00">
              <w:rPr>
                <w:rFonts w:ascii="Times New Roman" w:eastAsia="SimSun" w:hAnsi="Times New Roman"/>
                <w:sz w:val="20"/>
                <w:szCs w:val="20"/>
              </w:rPr>
              <w:t>TX/RX switching time</w:t>
            </w:r>
          </w:p>
          <w:p w:rsidR="00E41DB4" w:rsidRPr="00B41F00" w:rsidRDefault="00E41DB4" w:rsidP="00023DD2">
            <w:pPr>
              <w:pStyle w:val="ListParagraph"/>
              <w:numPr>
                <w:ilvl w:val="0"/>
                <w:numId w:val="6"/>
              </w:numPr>
              <w:spacing w:before="0" w:after="120"/>
              <w:jc w:val="both"/>
              <w:rPr>
                <w:rFonts w:ascii="Times New Roman" w:eastAsia="SimSun" w:hAnsi="Times New Roman"/>
                <w:sz w:val="20"/>
                <w:szCs w:val="20"/>
              </w:rPr>
            </w:pPr>
            <w:r w:rsidRPr="00B41F00">
              <w:rPr>
                <w:rFonts w:ascii="Times New Roman" w:eastAsia="SimSun" w:hAnsi="Times New Roman"/>
                <w:sz w:val="20"/>
                <w:szCs w:val="20"/>
              </w:rPr>
              <w:t>Timing error between a UE and its synchronization reference.</w:t>
            </w:r>
          </w:p>
          <w:p w:rsidR="00E41DB4" w:rsidRPr="00B41F00" w:rsidRDefault="00E41DB4" w:rsidP="00023DD2">
            <w:pPr>
              <w:pStyle w:val="ListParagraph"/>
              <w:numPr>
                <w:ilvl w:val="0"/>
                <w:numId w:val="6"/>
              </w:numPr>
              <w:spacing w:before="0" w:after="120"/>
              <w:jc w:val="both"/>
              <w:rPr>
                <w:rFonts w:ascii="Times New Roman" w:eastAsia="SimSun" w:hAnsi="Times New Roman"/>
                <w:sz w:val="20"/>
                <w:szCs w:val="20"/>
              </w:rPr>
            </w:pPr>
            <w:r w:rsidRPr="00B41F00">
              <w:rPr>
                <w:rFonts w:ascii="Times New Roman" w:eastAsia="SimSun" w:hAnsi="Times New Roman"/>
                <w:sz w:val="20"/>
                <w:szCs w:val="20"/>
              </w:rPr>
              <w:t>Frequency error between a UE and its synchronization reference.</w:t>
            </w:r>
          </w:p>
          <w:p w:rsidR="00E41DB4" w:rsidRPr="00B41F00" w:rsidRDefault="00E41DB4" w:rsidP="00C26181">
            <w:pPr>
              <w:keepNext/>
              <w:spacing w:before="0"/>
              <w:ind w:left="425"/>
              <w:rPr>
                <w:b/>
                <w:lang w:val="en-US"/>
              </w:rPr>
            </w:pPr>
            <w:r w:rsidRPr="00B41F00">
              <w:rPr>
                <w:b/>
                <w:lang w:val="en-US"/>
              </w:rPr>
              <w:t>Question 2:</w:t>
            </w:r>
          </w:p>
          <w:p w:rsidR="00E41DB4" w:rsidRPr="00B41F00" w:rsidRDefault="00E41DB4" w:rsidP="00D6028B">
            <w:pPr>
              <w:spacing w:before="0"/>
              <w:ind w:left="426"/>
              <w:rPr>
                <w:lang w:val="en-US"/>
              </w:rPr>
            </w:pPr>
            <w:r w:rsidRPr="00B41F00">
              <w:rPr>
                <w:lang w:val="en-US"/>
              </w:rPr>
              <w:t>RAN1 would like to know whether IBE model defined in Section A.2.1.5 in TR 36.843 is still applicable to NR sidelink transmission in FR1, including OFDMA and SC-OFDMA. If the model is not applicable, RAN1 would like to request guidance from RAN4 on an appropriate model for system-level simulations.</w:t>
            </w:r>
          </w:p>
          <w:p w:rsidR="00E41DB4" w:rsidRPr="00B41F00" w:rsidRDefault="00E41DB4" w:rsidP="00D6028B">
            <w:pPr>
              <w:spacing w:before="0"/>
              <w:ind w:left="426"/>
              <w:rPr>
                <w:b/>
                <w:lang w:val="en-US"/>
              </w:rPr>
            </w:pPr>
            <w:r w:rsidRPr="00B41F00">
              <w:rPr>
                <w:b/>
                <w:lang w:val="en-US"/>
              </w:rPr>
              <w:t>Question 3:</w:t>
            </w:r>
          </w:p>
          <w:p w:rsidR="00E41DB4" w:rsidRPr="00B41F00" w:rsidRDefault="00E41DB4" w:rsidP="00D6028B">
            <w:pPr>
              <w:spacing w:before="0"/>
              <w:ind w:left="426"/>
              <w:rPr>
                <w:lang w:val="en-US"/>
              </w:rPr>
            </w:pPr>
            <w:r w:rsidRPr="00B41F00">
              <w:rPr>
                <w:lang w:val="en-US"/>
              </w:rPr>
              <w:lastRenderedPageBreak/>
              <w:t>RAN1 would like to request guidance from RAN4 on an IBE model for sidelink communication in FR2.</w:t>
            </w:r>
          </w:p>
          <w:p w:rsidR="00E41DB4" w:rsidRPr="00B41F00" w:rsidRDefault="00E41DB4" w:rsidP="00D6028B">
            <w:pPr>
              <w:spacing w:before="0"/>
              <w:ind w:left="720" w:hanging="357"/>
              <w:jc w:val="both"/>
              <w:textAlignment w:val="auto"/>
              <w:rPr>
                <w:b/>
                <w:lang w:val="en-US"/>
              </w:rPr>
            </w:pPr>
            <w:r w:rsidRPr="00B41F00">
              <w:rPr>
                <w:b/>
                <w:lang w:val="en-US"/>
              </w:rPr>
              <w:t>2. Actions:</w:t>
            </w:r>
          </w:p>
          <w:p w:rsidR="00E41DB4" w:rsidRPr="00B41F00" w:rsidRDefault="00E41DB4" w:rsidP="00D6028B">
            <w:pPr>
              <w:spacing w:before="0"/>
              <w:ind w:left="720" w:hanging="357"/>
              <w:jc w:val="both"/>
              <w:textAlignment w:val="auto"/>
              <w:rPr>
                <w:lang w:val="en-US"/>
              </w:rPr>
            </w:pPr>
            <w:r w:rsidRPr="00B41F00">
              <w:rPr>
                <w:lang w:val="en-US"/>
              </w:rPr>
              <w:t>To RAN WG4:</w:t>
            </w:r>
          </w:p>
          <w:p w:rsidR="00E41DB4" w:rsidRPr="00B41F00" w:rsidRDefault="00E41DB4" w:rsidP="00D6028B">
            <w:pPr>
              <w:spacing w:before="0"/>
              <w:ind w:left="720" w:hanging="357"/>
              <w:jc w:val="both"/>
              <w:textAlignment w:val="auto"/>
              <w:rPr>
                <w:lang w:val="en-US"/>
              </w:rPr>
            </w:pPr>
            <w:r w:rsidRPr="00B41F00">
              <w:rPr>
                <w:lang w:val="en-US"/>
              </w:rPr>
              <w:t>RAN1 respectfully asks RAN4 to answer the questions posed above.</w:t>
            </w:r>
          </w:p>
        </w:tc>
      </w:tr>
    </w:tbl>
    <w:p w:rsidR="0005456B" w:rsidRDefault="0005456B" w:rsidP="00E41DB4">
      <w:r>
        <w:lastRenderedPageBreak/>
        <w:t>In RAN4 #88bis offline discussions took place and the WF on the next steps was approved in the email discussion [2].</w:t>
      </w:r>
    </w:p>
    <w:p w:rsidR="00E41DB4" w:rsidRPr="003E2B6A" w:rsidRDefault="00E41DB4" w:rsidP="00E41DB4">
      <w:r>
        <w:t>In this contribution we provide our views on the selected questions raised in RAN1 LS.</w:t>
      </w:r>
    </w:p>
    <w:p w:rsidR="0093161F" w:rsidRDefault="00E41DB4" w:rsidP="00F00497">
      <w:pPr>
        <w:pStyle w:val="Heading1"/>
        <w:rPr>
          <w:lang w:val="en-US"/>
        </w:rPr>
      </w:pPr>
      <w:r>
        <w:rPr>
          <w:lang w:val="en-US"/>
        </w:rPr>
        <w:t>Discussion</w:t>
      </w:r>
    </w:p>
    <w:p w:rsidR="00451A88" w:rsidRPr="00DF3E97" w:rsidRDefault="00E41DB4" w:rsidP="0093161F">
      <w:pPr>
        <w:pStyle w:val="Heading2"/>
        <w:rPr>
          <w:lang w:val="en-US"/>
        </w:rPr>
      </w:pPr>
      <w:r w:rsidRPr="00DF3E97">
        <w:rPr>
          <w:lang w:val="en-US"/>
        </w:rPr>
        <w:t>FR1 IBE Model</w:t>
      </w:r>
    </w:p>
    <w:p w:rsidR="00DF3E97" w:rsidRPr="00DF3E97" w:rsidRDefault="00DF3E97" w:rsidP="00943D04">
      <w:pPr>
        <w:jc w:val="both"/>
      </w:pPr>
      <w:r>
        <w:t xml:space="preserve">In V2X Sidelink communication systems, In-band emission characteristics play an important role and may have substantial impact on the performance as power control is typically used and UEs transmit with maximum output power. The major issue caused by this situation is a near-far problem where an IBE from a nearby UE could easily overwhelm the desired receive signal </w:t>
      </w:r>
      <w:r w:rsidR="002F3C25">
        <w:t xml:space="preserve">from </w:t>
      </w:r>
      <w:r>
        <w:t xml:space="preserve">another UE which is far from the receiver. </w:t>
      </w:r>
      <w:r w:rsidRPr="00DF3E97">
        <w:t xml:space="preserve">In </w:t>
      </w:r>
      <w:r w:rsidRPr="00943D04">
        <w:fldChar w:fldCharType="begin"/>
      </w:r>
      <w:r w:rsidRPr="00943D04">
        <w:instrText xml:space="preserve"> REF _Ref520879872 \h </w:instrText>
      </w:r>
      <w:r>
        <w:instrText xml:space="preserve"> \* MERGEFORMAT </w:instrText>
      </w:r>
      <w:r w:rsidRPr="00943D04">
        <w:fldChar w:fldCharType="separate"/>
      </w:r>
      <w:r w:rsidRPr="00943D04">
        <w:t xml:space="preserve">Figure </w:t>
      </w:r>
      <w:r w:rsidRPr="00943D04">
        <w:rPr>
          <w:noProof/>
        </w:rPr>
        <w:t>2</w:t>
      </w:r>
      <w:r w:rsidRPr="00943D04">
        <w:fldChar w:fldCharType="end"/>
      </w:r>
      <w:r w:rsidRPr="00943D04">
        <w:t xml:space="preserve">, we </w:t>
      </w:r>
      <w:r>
        <w:t>provide system-level simulation results which show the in-band emission impacts on the V2X performance (for more details on assumptions see [</w:t>
      </w:r>
      <w:r w:rsidR="0005456B">
        <w:t>3</w:t>
      </w:r>
      <w:r>
        <w:t>])</w:t>
      </w:r>
      <w:r w:rsidRPr="00DF3E97">
        <w:t>:</w:t>
      </w:r>
    </w:p>
    <w:p w:rsidR="00DF3E97" w:rsidRPr="00943D04" w:rsidRDefault="00DF3E97" w:rsidP="00023DD2">
      <w:pPr>
        <w:pStyle w:val="3GPPAgreements"/>
        <w:numPr>
          <w:ilvl w:val="0"/>
          <w:numId w:val="11"/>
        </w:numPr>
        <w:rPr>
          <w:sz w:val="20"/>
        </w:rPr>
      </w:pPr>
      <w:r w:rsidRPr="00943D04">
        <w:rPr>
          <w:sz w:val="20"/>
        </w:rPr>
        <w:t>Configuration 1: 10MHz BW and IBE on;</w:t>
      </w:r>
    </w:p>
    <w:p w:rsidR="00DF3E97" w:rsidRPr="00943D04" w:rsidRDefault="00DF3E97" w:rsidP="00023DD2">
      <w:pPr>
        <w:pStyle w:val="3GPPAgreements"/>
        <w:numPr>
          <w:ilvl w:val="0"/>
          <w:numId w:val="11"/>
        </w:numPr>
        <w:rPr>
          <w:sz w:val="20"/>
        </w:rPr>
      </w:pPr>
      <w:r w:rsidRPr="00943D04">
        <w:rPr>
          <w:sz w:val="20"/>
        </w:rPr>
        <w:t>Configuration 2: 10MHz BW and IBE off;</w:t>
      </w:r>
    </w:p>
    <w:p w:rsidR="00DF3E97" w:rsidRPr="00943D04" w:rsidRDefault="00DF3E97" w:rsidP="00023DD2">
      <w:pPr>
        <w:pStyle w:val="3GPPAgreements"/>
        <w:numPr>
          <w:ilvl w:val="0"/>
          <w:numId w:val="11"/>
        </w:numPr>
        <w:rPr>
          <w:sz w:val="20"/>
        </w:rPr>
      </w:pPr>
      <w:r w:rsidRPr="00943D04">
        <w:rPr>
          <w:sz w:val="20"/>
        </w:rPr>
        <w:t>Configuration 3: 40MHz BW and IBE on;</w:t>
      </w:r>
    </w:p>
    <w:p w:rsidR="00DF3E97" w:rsidRPr="00943D04" w:rsidRDefault="00DF3E97" w:rsidP="00023DD2">
      <w:pPr>
        <w:pStyle w:val="3GPPAgreements"/>
        <w:numPr>
          <w:ilvl w:val="0"/>
          <w:numId w:val="11"/>
        </w:numPr>
        <w:rPr>
          <w:sz w:val="20"/>
        </w:rPr>
      </w:pPr>
      <w:r w:rsidRPr="00943D04">
        <w:rPr>
          <w:sz w:val="20"/>
        </w:rPr>
        <w:t>Configuration 4: 40MHz BW and IBE off.</w:t>
      </w:r>
    </w:p>
    <w:p w:rsidR="00DF3E97" w:rsidRPr="00943D04" w:rsidRDefault="00DF3E97" w:rsidP="00DF3E97">
      <w:pPr>
        <w:pStyle w:val="3GPPText"/>
        <w:rPr>
          <w:sz w:val="20"/>
        </w:rPr>
      </w:pPr>
      <w:r w:rsidRPr="00943D04">
        <w:rPr>
          <w:sz w:val="20"/>
        </w:rPr>
        <w:t>Our system level evaluations show that Configuration 2 (i.e. 10MHz BW without IBE impact) gives better performance than Configuration 3 (i.e. 40MHz BW with IBE impact). This means that solutions to reduc</w:t>
      </w:r>
      <w:r w:rsidRPr="00DF3E97">
        <w:rPr>
          <w:sz w:val="20"/>
        </w:rPr>
        <w:t xml:space="preserve">e the level of IBE are of </w:t>
      </w:r>
      <w:r w:rsidRPr="00943D04">
        <w:rPr>
          <w:sz w:val="20"/>
        </w:rPr>
        <w:t xml:space="preserve">high importance </w:t>
      </w:r>
      <w:r>
        <w:rPr>
          <w:sz w:val="20"/>
        </w:rPr>
        <w:t>to</w:t>
      </w:r>
      <w:r w:rsidRPr="00943D04">
        <w:rPr>
          <w:sz w:val="20"/>
        </w:rPr>
        <w:t xml:space="preserve"> </w:t>
      </w:r>
      <w:r>
        <w:rPr>
          <w:sz w:val="20"/>
        </w:rPr>
        <w:t>improve the performance of NR V2X</w:t>
      </w:r>
      <w:r w:rsidRPr="00943D04">
        <w:rPr>
          <w:sz w:val="20"/>
        </w:rPr>
        <w:t>.</w:t>
      </w:r>
    </w:p>
    <w:p w:rsidR="00DF3E97" w:rsidRDefault="00FE1B11" w:rsidP="00DF3E97">
      <w:pPr>
        <w:pStyle w:val="3GPPText"/>
        <w:jc w:val="center"/>
      </w:pPr>
      <w:r w:rsidRPr="00DF3E97">
        <w:rPr>
          <w:noProof/>
          <w:lang w:val="en-GB" w:eastAsia="en-GB"/>
        </w:rPr>
        <w:drawing>
          <wp:inline distT="0" distB="0" distL="0" distR="0">
            <wp:extent cx="2880197" cy="21600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197" cy="2160000"/>
                    </a:xfrm>
                    <a:prstGeom prst="rect">
                      <a:avLst/>
                    </a:prstGeom>
                    <a:noFill/>
                    <a:ln>
                      <a:noFill/>
                    </a:ln>
                  </pic:spPr>
                </pic:pic>
              </a:graphicData>
            </a:graphic>
          </wp:inline>
        </w:drawing>
      </w:r>
    </w:p>
    <w:p w:rsidR="00DF3E97" w:rsidRDefault="00DF3E97" w:rsidP="00DF3E97">
      <w:pPr>
        <w:pStyle w:val="Caption"/>
        <w:jc w:val="center"/>
      </w:pPr>
      <w:bookmarkStart w:id="2" w:name="_Ref520879872"/>
      <w:r>
        <w:t xml:space="preserve">Figure </w:t>
      </w:r>
      <w:r>
        <w:fldChar w:fldCharType="begin"/>
      </w:r>
      <w:r>
        <w:instrText xml:space="preserve"> SEQ Figure \* ARABIC </w:instrText>
      </w:r>
      <w:r>
        <w:fldChar w:fldCharType="separate"/>
      </w:r>
      <w:r w:rsidR="008136DD">
        <w:rPr>
          <w:noProof/>
        </w:rPr>
        <w:t>1</w:t>
      </w:r>
      <w:r>
        <w:fldChar w:fldCharType="end"/>
      </w:r>
      <w:bookmarkEnd w:id="2"/>
      <w:r>
        <w:t>: LTE-V2X performance for 10MHz and 40MHz BW w/ and w/o IBE impact</w:t>
      </w:r>
    </w:p>
    <w:p w:rsidR="00521642" w:rsidRDefault="00DF3E97" w:rsidP="00943D04">
      <w:pPr>
        <w:jc w:val="both"/>
      </w:pPr>
      <w:r>
        <w:t xml:space="preserve">We would like to </w:t>
      </w:r>
      <w:r w:rsidR="00C26181">
        <w:t>remind</w:t>
      </w:r>
      <w:r>
        <w:t xml:space="preserve"> that during the LTE sidelink discussions the issue on IBE model was raised. As an outcome, </w:t>
      </w:r>
      <w:r w:rsidR="00C26181">
        <w:t>a</w:t>
      </w:r>
      <w:r>
        <w:t xml:space="preserve"> more strict IBE model was agreed for RAN1 sidelink evaluations, where additional offsets on value of </w:t>
      </w:r>
      <w:r w:rsidRPr="001D358D">
        <w:t>W,</w:t>
      </w:r>
      <w:r>
        <w:t xml:space="preserve"> </w:t>
      </w:r>
      <w:r w:rsidRPr="001D358D">
        <w:t>X,</w:t>
      </w:r>
      <w:r>
        <w:t xml:space="preserve"> </w:t>
      </w:r>
      <w:r w:rsidRPr="001D358D">
        <w:t>Y,</w:t>
      </w:r>
      <w:r>
        <w:t xml:space="preserve"> </w:t>
      </w:r>
      <w:r w:rsidRPr="001D358D">
        <w:t xml:space="preserve">Z </w:t>
      </w:r>
      <w:r>
        <w:t>for single cluster transmissions was set to [3, 6, 3, 3] dB (</w:t>
      </w:r>
      <w:r w:rsidRPr="008F6055">
        <w:fldChar w:fldCharType="begin"/>
      </w:r>
      <w:r w:rsidRPr="008F6055">
        <w:instrText xml:space="preserve"> REF _Ref520882797 \n \h </w:instrText>
      </w:r>
      <w:r>
        <w:instrText xml:space="preserve"> \* MERGEFORMAT </w:instrText>
      </w:r>
      <w:r w:rsidRPr="008F6055">
        <w:fldChar w:fldCharType="separate"/>
      </w:r>
      <w:r>
        <w:t>[</w:t>
      </w:r>
      <w:r w:rsidR="00F55C34">
        <w:t>4</w:t>
      </w:r>
      <w:r>
        <w:t>]</w:t>
      </w:r>
      <w:r w:rsidRPr="008F6055">
        <w:fldChar w:fldCharType="end"/>
      </w:r>
      <w:r w:rsidRPr="008F6055">
        <w:t>). Later</w:t>
      </w:r>
      <w:r>
        <w:t xml:space="preserve"> on this model was also reused </w:t>
      </w:r>
      <w:r w:rsidR="00F55C34">
        <w:t>for LTE-V2X sidelink evaluations</w:t>
      </w:r>
      <w:r>
        <w:t>.</w:t>
      </w:r>
      <w:r w:rsidR="00521642">
        <w:t xml:space="preserve"> </w:t>
      </w:r>
    </w:p>
    <w:p w:rsidR="00DF3E97" w:rsidRDefault="00521642" w:rsidP="00943D04">
      <w:pPr>
        <w:jc w:val="both"/>
      </w:pPr>
      <w:r>
        <w:t>For the NR V2X model, we have also identified that current NR FR1 UL IBE mask is quite relaxed comparing to what UE could potentially achieve</w:t>
      </w:r>
      <w:r w:rsidR="00BD0F10">
        <w:t>d</w:t>
      </w:r>
      <w:r>
        <w:t xml:space="preserve"> in practice and not directly applicable for V2X use cases. </w:t>
      </w:r>
      <w:r w:rsidR="00DF3E97">
        <w:t xml:space="preserve">In fact, the V2X IBE is just a replica of </w:t>
      </w:r>
      <w:r w:rsidR="00BD0F10">
        <w:t xml:space="preserve">the </w:t>
      </w:r>
      <w:r w:rsidR="00DF3E97">
        <w:t xml:space="preserve">LTE IBE, and </w:t>
      </w:r>
      <w:r w:rsidR="00DF3E97">
        <w:rPr>
          <w:noProof/>
        </w:rPr>
        <w:t xml:space="preserve">the current requirement is almost meaningless for a real application from our analysis. </w:t>
      </w:r>
      <w:r w:rsidR="00DF3E97">
        <w:t>We believe it is good time to discuss a new IBE mask which fits for realistic V2X application scenario, i.e. no uplink power control, and we propose to tighten up the current requirement</w:t>
      </w:r>
      <w:r w:rsidR="00F55C34">
        <w:t>s</w:t>
      </w:r>
      <w:r w:rsidR="00DF3E97">
        <w:t>.</w:t>
      </w:r>
    </w:p>
    <w:p w:rsidR="00521642" w:rsidRDefault="00521642" w:rsidP="00521642">
      <w:pPr>
        <w:jc w:val="both"/>
        <w:rPr>
          <w:i/>
        </w:rPr>
      </w:pPr>
      <w:r>
        <w:rPr>
          <w:b/>
          <w:i/>
        </w:rPr>
        <w:t>Observation</w:t>
      </w:r>
      <w:r>
        <w:rPr>
          <w:i/>
        </w:rPr>
        <w:t xml:space="preserve">: The current in-band emission mask for </w:t>
      </w:r>
      <w:r w:rsidR="00BD0F10">
        <w:rPr>
          <w:i/>
        </w:rPr>
        <w:t xml:space="preserve">LTE </w:t>
      </w:r>
      <w:r>
        <w:rPr>
          <w:i/>
        </w:rPr>
        <w:t>V2X is too relaxed.</w:t>
      </w:r>
    </w:p>
    <w:p w:rsidR="00844D93" w:rsidRDefault="00844D93" w:rsidP="00844D93">
      <w:pPr>
        <w:jc w:val="both"/>
      </w:pPr>
      <w:r>
        <w:t>Below we provide views on the IBE characteristics which are feasible from the implementation perspective</w:t>
      </w:r>
      <w:r w:rsidR="00A204ED">
        <w:t xml:space="preserve"> for V2X operation</w:t>
      </w:r>
      <w:r>
        <w:t>:</w:t>
      </w:r>
    </w:p>
    <w:tbl>
      <w:tblPr>
        <w:tblStyle w:val="TableGrid"/>
        <w:tblW w:w="5000" w:type="pct"/>
        <w:tblLook w:val="04A0" w:firstRow="1" w:lastRow="0" w:firstColumn="1" w:lastColumn="0" w:noHBand="0" w:noVBand="1"/>
      </w:tblPr>
      <w:tblGrid>
        <w:gridCol w:w="1697"/>
        <w:gridCol w:w="7932"/>
      </w:tblGrid>
      <w:tr w:rsidR="00844D93" w:rsidRPr="00220F1A" w:rsidTr="00844D93">
        <w:tc>
          <w:tcPr>
            <w:tcW w:w="881" w:type="pct"/>
            <w:shd w:val="clear" w:color="auto" w:fill="D9E2F3" w:themeFill="accent5" w:themeFillTint="33"/>
          </w:tcPr>
          <w:p w:rsidR="00844D93" w:rsidRPr="00220F1A" w:rsidRDefault="00844D93" w:rsidP="00751A09">
            <w:pPr>
              <w:keepNext/>
              <w:spacing w:before="60" w:after="60" w:line="240" w:lineRule="auto"/>
              <w:rPr>
                <w:rFonts w:cs="Arial"/>
                <w:b/>
              </w:rPr>
            </w:pPr>
            <w:r w:rsidRPr="00220F1A">
              <w:rPr>
                <w:rFonts w:cs="Arial"/>
                <w:b/>
              </w:rPr>
              <w:lastRenderedPageBreak/>
              <w:t>Component</w:t>
            </w:r>
          </w:p>
        </w:tc>
        <w:tc>
          <w:tcPr>
            <w:tcW w:w="4119" w:type="pct"/>
            <w:shd w:val="clear" w:color="auto" w:fill="D9E2F3" w:themeFill="accent5" w:themeFillTint="33"/>
          </w:tcPr>
          <w:p w:rsidR="00844D93" w:rsidRPr="00220F1A" w:rsidRDefault="00844D93" w:rsidP="00751A09">
            <w:pPr>
              <w:keepNext/>
              <w:spacing w:before="60" w:after="60" w:line="240" w:lineRule="auto"/>
              <w:rPr>
                <w:b/>
              </w:rPr>
            </w:pPr>
            <w:r w:rsidRPr="00220F1A">
              <w:rPr>
                <w:b/>
              </w:rPr>
              <w:t>Comments</w:t>
            </w:r>
          </w:p>
        </w:tc>
      </w:tr>
      <w:tr w:rsidR="00844D93" w:rsidTr="00844D93">
        <w:trPr>
          <w:trHeight w:val="2345"/>
        </w:trPr>
        <w:tc>
          <w:tcPr>
            <w:tcW w:w="881" w:type="pct"/>
          </w:tcPr>
          <w:p w:rsidR="00844D93" w:rsidRDefault="00844D93" w:rsidP="00A52C94">
            <w:pPr>
              <w:spacing w:before="60" w:after="60" w:line="240" w:lineRule="auto"/>
              <w:jc w:val="left"/>
            </w:pPr>
            <w:r w:rsidRPr="00611CC4">
              <w:rPr>
                <w:rFonts w:cs="Arial"/>
              </w:rPr>
              <w:t>General</w:t>
            </w:r>
            <w:r>
              <w:rPr>
                <w:rFonts w:cs="Arial"/>
              </w:rPr>
              <w:t xml:space="preserve"> IBE</w:t>
            </w:r>
            <w:r w:rsidR="00A52C94">
              <w:rPr>
                <w:rFonts w:cs="Arial"/>
              </w:rPr>
              <w:t xml:space="preserve"> component</w:t>
            </w:r>
          </w:p>
        </w:tc>
        <w:tc>
          <w:tcPr>
            <w:tcW w:w="4119" w:type="pct"/>
          </w:tcPr>
          <w:p w:rsidR="00844D93" w:rsidRDefault="00844D93" w:rsidP="00751A09">
            <w:pPr>
              <w:spacing w:before="60" w:after="60" w:line="240" w:lineRule="auto"/>
            </w:pPr>
            <w:r w:rsidRPr="00220F1A">
              <w:t xml:space="preserve">Due to technology advancement the general </w:t>
            </w:r>
            <w:r>
              <w:t xml:space="preserve">TX </w:t>
            </w:r>
            <w:r w:rsidRPr="00220F1A">
              <w:t>IBE limits can be tightened</w:t>
            </w:r>
            <w:r>
              <w:t xml:space="preserve"> </w:t>
            </w:r>
          </w:p>
          <w:p w:rsidR="00844D93" w:rsidRPr="00220F1A" w:rsidRDefault="00844D93" w:rsidP="00751A09">
            <w:pPr>
              <w:pStyle w:val="ListParagraph"/>
              <w:numPr>
                <w:ilvl w:val="0"/>
                <w:numId w:val="21"/>
              </w:numPr>
              <w:spacing w:before="60" w:after="60"/>
              <w:rPr>
                <w:rFonts w:ascii="Times New Roman" w:hAnsi="Times New Roman"/>
                <w:sz w:val="20"/>
              </w:rPr>
            </w:pPr>
            <w:r w:rsidRPr="00220F1A">
              <w:rPr>
                <w:rFonts w:ascii="Times New Roman" w:hAnsi="Times New Roman"/>
                <w:sz w:val="20"/>
              </w:rPr>
              <w:t>10dB dB tightening is feasible for</w:t>
            </w:r>
            <w:r>
              <w:rPr>
                <w:rFonts w:ascii="Times New Roman" w:hAnsi="Times New Roman"/>
                <w:sz w:val="20"/>
              </w:rPr>
              <w:t xml:space="preserve"> the noise floor component (</w:t>
            </w:r>
            <w:r w:rsidRPr="00220F1A">
              <w:rPr>
                <w:rFonts w:ascii="Times New Roman" w:hAnsi="Times New Roman"/>
                <w:sz w:val="20"/>
              </w:rPr>
              <w:t>“</w:t>
            </w:r>
            <w:r w:rsidRPr="00220F1A">
              <w:rPr>
                <w:rFonts w:ascii="Times New Roman" w:hAnsi="Times New Roman"/>
                <w:position w:val="-12"/>
                <w:sz w:val="20"/>
              </w:rPr>
              <w:object w:dxaOrig="25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6pt" o:ole="">
                  <v:imagedata r:id="rId13" o:title=""/>
                </v:shape>
                <o:OLEObject Type="Embed" ProgID="Equation.DSMT4" ShapeID="_x0000_i1025" DrawAspect="Content" ObjectID="_1602697087" r:id="rId14"/>
              </w:object>
            </w:r>
            <w:r w:rsidRPr="00220F1A">
              <w:rPr>
                <w:rFonts w:ascii="Times New Roman" w:hAnsi="Times New Roman"/>
                <w:sz w:val="20"/>
              </w:rPr>
              <w:t>”</w:t>
            </w:r>
            <w:r>
              <w:rPr>
                <w:rFonts w:ascii="Times New Roman" w:hAnsi="Times New Roman"/>
                <w:sz w:val="20"/>
              </w:rPr>
              <w:t>)</w:t>
            </w:r>
          </w:p>
          <w:p w:rsidR="00844D93" w:rsidRPr="00220F1A" w:rsidRDefault="00844D93" w:rsidP="00751A09">
            <w:pPr>
              <w:pStyle w:val="ListParagraph"/>
              <w:numPr>
                <w:ilvl w:val="0"/>
                <w:numId w:val="21"/>
              </w:numPr>
              <w:spacing w:before="60" w:after="60"/>
              <w:rPr>
                <w:rFonts w:ascii="Times New Roman" w:hAnsi="Times New Roman"/>
                <w:sz w:val="20"/>
              </w:rPr>
            </w:pPr>
            <w:r w:rsidRPr="00220F1A">
              <w:rPr>
                <w:rFonts w:ascii="Times New Roman" w:hAnsi="Times New Roman"/>
                <w:sz w:val="20"/>
              </w:rPr>
              <w:t>Achievable tightening for</w:t>
            </w:r>
            <w:r>
              <w:rPr>
                <w:rFonts w:ascii="Times New Roman" w:hAnsi="Times New Roman"/>
                <w:sz w:val="20"/>
              </w:rPr>
              <w:t xml:space="preserve"> the </w:t>
            </w:r>
            <w:r w:rsidRPr="00220F1A">
              <w:rPr>
                <w:rFonts w:ascii="Times New Roman" w:hAnsi="Times New Roman"/>
                <w:sz w:val="20"/>
              </w:rPr>
              <w:t>“</w:t>
            </w:r>
            <w:r w:rsidRPr="00220F1A">
              <w:rPr>
                <w:rFonts w:ascii="Times New Roman" w:hAnsi="Times New Roman"/>
                <w:position w:val="-14"/>
                <w:sz w:val="20"/>
              </w:rPr>
              <w:object w:dxaOrig="3660" w:dyaOrig="400">
                <v:shape id="_x0000_i1026" type="#_x0000_t75" style="width:154pt;height:17pt" o:ole="">
                  <v:imagedata r:id="rId15" o:title=""/>
                </v:shape>
                <o:OLEObject Type="Embed" ProgID="Equation.DSMT4" ShapeID="_x0000_i1026" DrawAspect="Content" ObjectID="_1602697088" r:id="rId16"/>
              </w:object>
            </w:r>
            <w:r w:rsidRPr="00220F1A">
              <w:rPr>
                <w:rFonts w:ascii="Times New Roman" w:hAnsi="Times New Roman"/>
                <w:sz w:val="20"/>
              </w:rPr>
              <w:t>” component typically depends on the TX modulation order. Two approaches can be considered:</w:t>
            </w:r>
          </w:p>
          <w:p w:rsidR="00844D93" w:rsidRPr="00220F1A" w:rsidRDefault="00844D93" w:rsidP="00751A09">
            <w:pPr>
              <w:pStyle w:val="ListParagraph"/>
              <w:numPr>
                <w:ilvl w:val="1"/>
                <w:numId w:val="21"/>
              </w:numPr>
              <w:spacing w:before="60" w:after="60"/>
              <w:rPr>
                <w:rFonts w:ascii="Times New Roman" w:hAnsi="Times New Roman"/>
                <w:sz w:val="20"/>
              </w:rPr>
            </w:pPr>
            <w:r w:rsidRPr="00220F1A">
              <w:rPr>
                <w:rFonts w:ascii="Times New Roman" w:hAnsi="Times New Roman"/>
                <w:sz w:val="20"/>
              </w:rPr>
              <w:t>Option 1: Apply tightening 3/7/10 dB tightening for 64QAM / 16QAM / QPSK</w:t>
            </w:r>
          </w:p>
          <w:p w:rsidR="00844D93" w:rsidRPr="00220F1A" w:rsidRDefault="00844D93" w:rsidP="00844D93">
            <w:pPr>
              <w:pStyle w:val="ListParagraph"/>
              <w:numPr>
                <w:ilvl w:val="1"/>
                <w:numId w:val="21"/>
              </w:numPr>
              <w:spacing w:before="60" w:after="60"/>
              <w:rPr>
                <w:i/>
              </w:rPr>
            </w:pPr>
            <w:r w:rsidRPr="00220F1A">
              <w:rPr>
                <w:rFonts w:ascii="Times New Roman" w:hAnsi="Times New Roman"/>
                <w:sz w:val="20"/>
              </w:rPr>
              <w:t xml:space="preserve">Option 2: Modify the component as follows: </w:t>
            </w:r>
            <w:r w:rsidRPr="00220F1A">
              <w:rPr>
                <w:rFonts w:ascii="Times New Roman" w:hAnsi="Times New Roman"/>
                <w:i/>
                <w:sz w:val="20"/>
              </w:rPr>
              <w:t>min(-20log10EVM, -25) – 3 – 5 (|ΔRB|-1)/LCRB</w:t>
            </w:r>
          </w:p>
        </w:tc>
      </w:tr>
      <w:tr w:rsidR="00844D93" w:rsidTr="00844D93">
        <w:tc>
          <w:tcPr>
            <w:tcW w:w="881" w:type="pct"/>
          </w:tcPr>
          <w:p w:rsidR="00844D93" w:rsidRDefault="00844D93" w:rsidP="00751A09">
            <w:pPr>
              <w:spacing w:before="60" w:after="60" w:line="240" w:lineRule="auto"/>
            </w:pPr>
            <w:r>
              <w:t>IQ image</w:t>
            </w:r>
          </w:p>
        </w:tc>
        <w:tc>
          <w:tcPr>
            <w:tcW w:w="4119" w:type="pct"/>
          </w:tcPr>
          <w:p w:rsidR="00844D93" w:rsidRPr="00220F1A" w:rsidRDefault="00844D93" w:rsidP="00A52C94">
            <w:pPr>
              <w:spacing w:before="60" w:after="60" w:line="240" w:lineRule="auto"/>
            </w:pPr>
            <w:r w:rsidRPr="00220F1A">
              <w:t xml:space="preserve">Due to technology advancements in IC process/design as well as RF/IF impairment compensation, IQ image issue becomes less challenging in current implementation and not a bottle neck any more for the performance requirement. </w:t>
            </w:r>
            <w:r w:rsidR="00A52C94">
              <w:t>In general, the IQ component can be removed from the IBE table.</w:t>
            </w:r>
          </w:p>
        </w:tc>
      </w:tr>
      <w:tr w:rsidR="00844D93" w:rsidTr="00844D93">
        <w:tc>
          <w:tcPr>
            <w:tcW w:w="881" w:type="pct"/>
          </w:tcPr>
          <w:p w:rsidR="00844D93" w:rsidRDefault="00844D93" w:rsidP="00751A09">
            <w:pPr>
              <w:spacing w:before="60" w:after="60" w:line="240" w:lineRule="auto"/>
            </w:pPr>
            <w:r w:rsidRPr="00611CC4">
              <w:rPr>
                <w:rFonts w:cs="Arial"/>
              </w:rPr>
              <w:t>Carrier leakage</w:t>
            </w:r>
          </w:p>
        </w:tc>
        <w:tc>
          <w:tcPr>
            <w:tcW w:w="4119" w:type="pct"/>
          </w:tcPr>
          <w:p w:rsidR="00844D93" w:rsidRDefault="00844D93" w:rsidP="00844D93">
            <w:pPr>
              <w:spacing w:before="60" w:after="60" w:line="240" w:lineRule="auto"/>
            </w:pPr>
            <w:r>
              <w:t xml:space="preserve">10 dB tightening of the carrier leakage can be considered at least for ≥ </w:t>
            </w:r>
            <w:r w:rsidRPr="00611CC4">
              <w:rPr>
                <w:rFonts w:cs="Arial"/>
              </w:rPr>
              <w:t xml:space="preserve">0 dBm </w:t>
            </w:r>
            <w:r>
              <w:rPr>
                <w:rFonts w:cs="Arial"/>
              </w:rPr>
              <w:t>o</w:t>
            </w:r>
            <w:r w:rsidRPr="00611CC4">
              <w:rPr>
                <w:rFonts w:cs="Arial"/>
              </w:rPr>
              <w:t>utput power</w:t>
            </w:r>
          </w:p>
        </w:tc>
      </w:tr>
      <w:tr w:rsidR="00844D93" w:rsidTr="00844D93">
        <w:tc>
          <w:tcPr>
            <w:tcW w:w="881" w:type="pct"/>
          </w:tcPr>
          <w:p w:rsidR="00844D93" w:rsidRPr="00611CC4" w:rsidRDefault="00844D93" w:rsidP="00751A09">
            <w:pPr>
              <w:spacing w:before="60" w:after="60" w:line="240" w:lineRule="auto"/>
              <w:rPr>
                <w:rFonts w:cs="Arial"/>
              </w:rPr>
            </w:pPr>
            <w:r>
              <w:rPr>
                <w:rFonts w:cs="Arial"/>
              </w:rPr>
              <w:t>Overall IBE limit</w:t>
            </w:r>
          </w:p>
        </w:tc>
        <w:tc>
          <w:tcPr>
            <w:tcW w:w="4119" w:type="pct"/>
          </w:tcPr>
          <w:p w:rsidR="00844D93" w:rsidRDefault="00844D93" w:rsidP="00844D93">
            <w:pPr>
              <w:spacing w:before="60" w:after="60" w:line="240" w:lineRule="auto"/>
            </w:pPr>
            <w:r>
              <w:t>10dB dB tightening is feasible for the overall IBE limit (</w:t>
            </w:r>
            <w:r w:rsidRPr="008136DD">
              <w:t>P</w:t>
            </w:r>
            <w:r w:rsidRPr="00844D93">
              <w:rPr>
                <w:vertAlign w:val="subscript"/>
              </w:rPr>
              <w:t>RB</w:t>
            </w:r>
            <w:r w:rsidRPr="008136DD">
              <w:t xml:space="preserve"> - </w:t>
            </w:r>
            <w:r>
              <w:t>4</w:t>
            </w:r>
            <w:r w:rsidRPr="008136DD">
              <w:t>0 dB</w:t>
            </w:r>
            <w:r>
              <w:t>)</w:t>
            </w:r>
          </w:p>
        </w:tc>
      </w:tr>
    </w:tbl>
    <w:p w:rsidR="002C07DB" w:rsidRDefault="00A52C94" w:rsidP="00943D04">
      <w:pPr>
        <w:jc w:val="both"/>
      </w:pPr>
      <w:r>
        <w:t>The proposed IBE model is shown in Table 1 (based on model in [2]):</w:t>
      </w:r>
    </w:p>
    <w:p w:rsidR="00A52C94" w:rsidRDefault="00A52C94" w:rsidP="00A52C94">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Proposed IBE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A52C94" w:rsidRPr="00611CC4" w:rsidTr="00A204ED">
        <w:trPr>
          <w:jc w:val="center"/>
        </w:trPr>
        <w:tc>
          <w:tcPr>
            <w:tcW w:w="666" w:type="pct"/>
            <w:tcBorders>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Limit (NOTE 1)</w:t>
            </w:r>
          </w:p>
        </w:tc>
        <w:tc>
          <w:tcPr>
            <w:tcW w:w="879" w:type="pct"/>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Applicable Frequencies</w:t>
            </w:r>
          </w:p>
        </w:tc>
      </w:tr>
      <w:tr w:rsidR="00A52C94" w:rsidRPr="00611CC4" w:rsidTr="00A204ED">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lang w:eastAsia="ko-KR"/>
              </w:rPr>
            </w:pPr>
            <w:r w:rsidRPr="009E56BF">
              <w:rPr>
                <w:rFonts w:cs="Arial"/>
                <w:position w:val="-58"/>
                <w:highlight w:val="yellow"/>
              </w:rPr>
              <w:object w:dxaOrig="4420" w:dyaOrig="1240">
                <v:shape id="_x0000_i1027" type="#_x0000_t75" style="width:199pt;height:50pt" o:ole="">
                  <v:imagedata r:id="rId17" o:title=""/>
                </v:shape>
                <o:OLEObject Type="Embed" ProgID="Equation.DSMT4" ShapeID="_x0000_i1027" DrawAspect="Content" ObjectID="_1602697089" r:id="rId18"/>
              </w:object>
            </w:r>
          </w:p>
        </w:tc>
        <w:tc>
          <w:tcPr>
            <w:tcW w:w="879" w:type="pct"/>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Any non-allocated (NOTE 2)</w:t>
            </w:r>
          </w:p>
        </w:tc>
      </w:tr>
      <w:tr w:rsidR="00A52C94" w:rsidRPr="00611CC4" w:rsidTr="00A204ED">
        <w:trPr>
          <w:trHeight w:val="20"/>
          <w:jc w:val="center"/>
        </w:trPr>
        <w:tc>
          <w:tcPr>
            <w:tcW w:w="666" w:type="pct"/>
            <w:vMerge w:val="restart"/>
            <w:tcBorders>
              <w:top w:val="single" w:sz="4" w:space="0" w:color="auto"/>
              <w:right w:val="single" w:sz="4" w:space="0" w:color="auto"/>
            </w:tcBorders>
            <w:shd w:val="clear" w:color="auto" w:fill="auto"/>
            <w:vAlign w:val="center"/>
          </w:tcPr>
          <w:p w:rsidR="00A52C94" w:rsidRPr="00A52C94" w:rsidRDefault="00A52C94" w:rsidP="00751A09">
            <w:pPr>
              <w:pStyle w:val="TAH"/>
              <w:keepNext w:val="0"/>
              <w:keepLines w:val="0"/>
              <w:spacing w:before="0"/>
              <w:rPr>
                <w:rFonts w:cs="Arial"/>
                <w:strike/>
              </w:rPr>
            </w:pPr>
            <w:r w:rsidRPr="00A52C94">
              <w:rPr>
                <w:rFonts w:cs="Arial"/>
                <w:strike/>
              </w:rPr>
              <w:t>IQ Image</w:t>
            </w:r>
          </w:p>
        </w:tc>
        <w:tc>
          <w:tcPr>
            <w:tcW w:w="609" w:type="pct"/>
            <w:vMerge w:val="restar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r w:rsidRPr="00A52C94">
              <w:rPr>
                <w:rFonts w:cs="Arial"/>
                <w:strike/>
              </w:rPr>
              <w:t>dB</w:t>
            </w:r>
          </w:p>
        </w:tc>
        <w:tc>
          <w:tcPr>
            <w:tcW w:w="668" w:type="pct"/>
            <w:tcBorders>
              <w:top w:val="single" w:sz="4" w:space="0" w:color="auto"/>
              <w:left w:val="single" w:sz="4" w:space="0" w:color="auto"/>
              <w:right w:val="single" w:sz="4" w:space="0" w:color="auto"/>
            </w:tcBorders>
            <w:vAlign w:val="center"/>
          </w:tcPr>
          <w:p w:rsidR="00A52C94" w:rsidRPr="00A52C94" w:rsidRDefault="00A52C94" w:rsidP="00A52C94">
            <w:pPr>
              <w:pStyle w:val="TAC"/>
              <w:keepNext w:val="0"/>
              <w:keepLines w:val="0"/>
              <w:spacing w:before="0"/>
              <w:rPr>
                <w:rFonts w:cs="Arial"/>
                <w:strike/>
                <w:highlight w:val="yellow"/>
              </w:rPr>
            </w:pPr>
            <w:r w:rsidRPr="00A52C94">
              <w:rPr>
                <w:rFonts w:cs="Arial"/>
                <w:strike/>
                <w:highlight w:val="yellow"/>
              </w:rPr>
              <w:t>-28</w:t>
            </w:r>
            <w:r>
              <w:rPr>
                <w:rFonts w:cs="Arial"/>
                <w:strike/>
                <w:highlight w:val="yellow"/>
              </w:rPr>
              <w:t>- Y1</w:t>
            </w:r>
          </w:p>
        </w:tc>
        <w:tc>
          <w:tcPr>
            <w:tcW w:w="2177" w:type="pct"/>
            <w:tcBorders>
              <w:top w:val="single" w:sz="4" w:space="0" w:color="auto"/>
              <w:left w:val="single" w:sz="4" w:space="0" w:color="auto"/>
              <w:right w:val="single" w:sz="4" w:space="0" w:color="auto"/>
            </w:tcBorders>
            <w:vAlign w:val="center"/>
          </w:tcPr>
          <w:p w:rsidR="00A52C94" w:rsidRPr="00A52C94" w:rsidRDefault="00A52C94" w:rsidP="00751A09">
            <w:pPr>
              <w:pStyle w:val="TAL"/>
              <w:keepNext w:val="0"/>
              <w:keepLines w:val="0"/>
              <w:spacing w:before="0"/>
              <w:rPr>
                <w:rFonts w:cs="Arial"/>
                <w:strike/>
              </w:rPr>
            </w:pPr>
            <w:r w:rsidRPr="00A52C94">
              <w:rPr>
                <w:rFonts w:cs="Arial"/>
                <w:strike/>
              </w:rPr>
              <w:t>Image frequencies when output power &gt; 10 dBm</w:t>
            </w:r>
          </w:p>
        </w:tc>
        <w:tc>
          <w:tcPr>
            <w:tcW w:w="879" w:type="pct"/>
            <w:vMerge w:val="restar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r w:rsidRPr="00A52C94">
              <w:rPr>
                <w:rFonts w:cs="Arial"/>
                <w:strike/>
              </w:rPr>
              <w:t>Image frequencies (NOTES 2, 3)</w:t>
            </w:r>
          </w:p>
        </w:tc>
      </w:tr>
      <w:tr w:rsidR="00A52C94" w:rsidRPr="00611CC4" w:rsidTr="00A204ED">
        <w:trPr>
          <w:trHeight w:val="20"/>
          <w:jc w:val="center"/>
        </w:trPr>
        <w:tc>
          <w:tcPr>
            <w:tcW w:w="666" w:type="pct"/>
            <w:vMerge/>
            <w:tcBorders>
              <w:right w:val="single" w:sz="4" w:space="0" w:color="auto"/>
            </w:tcBorders>
            <w:shd w:val="clear" w:color="auto" w:fill="auto"/>
            <w:vAlign w:val="center"/>
          </w:tcPr>
          <w:p w:rsidR="00A52C94" w:rsidRPr="00A52C94" w:rsidRDefault="00A52C94" w:rsidP="00751A09">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highlight w:val="yellow"/>
              </w:rPr>
            </w:pPr>
            <w:r w:rsidRPr="00A52C94">
              <w:rPr>
                <w:rFonts w:cs="Arial"/>
                <w:strike/>
                <w:highlight w:val="yellow"/>
              </w:rPr>
              <w:t>-28 – Y2</w:t>
            </w:r>
          </w:p>
        </w:tc>
        <w:tc>
          <w:tcPr>
            <w:tcW w:w="2177" w:type="pct"/>
            <w:tcBorders>
              <w:top w:val="single" w:sz="4" w:space="0" w:color="auto"/>
              <w:left w:val="single" w:sz="4" w:space="0" w:color="auto"/>
              <w:right w:val="single" w:sz="4" w:space="0" w:color="auto"/>
            </w:tcBorders>
            <w:vAlign w:val="center"/>
          </w:tcPr>
          <w:p w:rsidR="00A52C94" w:rsidRPr="00A52C94" w:rsidRDefault="00A52C94" w:rsidP="00751A09">
            <w:pPr>
              <w:pStyle w:val="TAL"/>
              <w:keepNext w:val="0"/>
              <w:keepLines w:val="0"/>
              <w:spacing w:before="0"/>
              <w:rPr>
                <w:rFonts w:cs="Arial"/>
                <w:strike/>
              </w:rPr>
            </w:pPr>
            <w:r w:rsidRPr="00A52C94">
              <w:rPr>
                <w:rFonts w:cs="Arial"/>
                <w:strike/>
              </w:rPr>
              <w:t>Image frequencies when output power ≤ 10 dBm</w:t>
            </w:r>
          </w:p>
        </w:tc>
        <w:tc>
          <w:tcPr>
            <w:tcW w:w="879" w:type="pct"/>
            <w:vMerge/>
            <w:tcBorders>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p>
        </w:tc>
      </w:tr>
      <w:tr w:rsidR="00A52C94" w:rsidRPr="00611CC4" w:rsidTr="00A204ED">
        <w:trPr>
          <w:trHeight w:val="208"/>
          <w:jc w:val="center"/>
        </w:trPr>
        <w:tc>
          <w:tcPr>
            <w:tcW w:w="666" w:type="pct"/>
            <w:vMerge w:val="restart"/>
            <w:tcBorders>
              <w:top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roofErr w:type="spellStart"/>
            <w:r w:rsidRPr="00611CC4">
              <w:rPr>
                <w:rFonts w:cs="Arial"/>
              </w:rPr>
              <w:t>dBc</w:t>
            </w:r>
            <w:proofErr w:type="spellEnd"/>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 xml:space="preserve">-28 – Z1 </w:t>
            </w:r>
          </w:p>
        </w:tc>
        <w:tc>
          <w:tcPr>
            <w:tcW w:w="2177" w:type="pct"/>
            <w:tcBorders>
              <w:top w:val="single" w:sz="4" w:space="0" w:color="auto"/>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 xml:space="preserve">Output power &gt; 10 dBm </w:t>
            </w:r>
          </w:p>
        </w:tc>
        <w:tc>
          <w:tcPr>
            <w:tcW w:w="879" w:type="pct"/>
            <w:vMerge w:val="restart"/>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Carrier leakage frequency (NOTES 4, 5)</w:t>
            </w:r>
          </w:p>
        </w:tc>
      </w:tr>
      <w:tr w:rsidR="00A52C94" w:rsidRPr="00611CC4" w:rsidTr="00A204ED">
        <w:trPr>
          <w:trHeight w:val="208"/>
          <w:jc w:val="center"/>
        </w:trPr>
        <w:tc>
          <w:tcPr>
            <w:tcW w:w="666" w:type="pct"/>
            <w:vMerge/>
            <w:tcBorders>
              <w:top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-25 – Z2</w:t>
            </w:r>
          </w:p>
        </w:tc>
        <w:tc>
          <w:tcPr>
            <w:tcW w:w="2177" w:type="pct"/>
            <w:tcBorders>
              <w:top w:val="single" w:sz="4" w:space="0" w:color="auto"/>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0 dBm ≤ Output power ≤10 dBm</w:t>
            </w:r>
          </w:p>
        </w:tc>
        <w:tc>
          <w:tcPr>
            <w:tcW w:w="879" w:type="pct"/>
            <w:vMerge/>
            <w:tcBorders>
              <w:top w:val="single" w:sz="4" w:space="0" w:color="auto"/>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206"/>
          <w:jc w:val="center"/>
        </w:trPr>
        <w:tc>
          <w:tcPr>
            <w:tcW w:w="666" w:type="pct"/>
            <w:vMerge/>
            <w:tcBorders>
              <w:right w:val="single" w:sz="4" w:space="0" w:color="auto"/>
            </w:tcBorders>
            <w:shd w:val="clear" w:color="auto" w:fill="auto"/>
            <w:vAlign w:val="center"/>
          </w:tcPr>
          <w:p w:rsidR="00A52C94" w:rsidRPr="00611CC4" w:rsidRDefault="00A52C94" w:rsidP="00751A09">
            <w:pPr>
              <w:spacing w:before="0" w:after="0"/>
              <w:rPr>
                <w:b/>
              </w:rPr>
            </w:pPr>
          </w:p>
        </w:tc>
        <w:tc>
          <w:tcPr>
            <w:tcW w:w="609" w:type="pct"/>
            <w:vMerge/>
            <w:tcBorders>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-20 – Z3</w:t>
            </w:r>
          </w:p>
        </w:tc>
        <w:tc>
          <w:tcPr>
            <w:tcW w:w="2177" w:type="pct"/>
            <w:tcBorders>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-30 dBm ≤ Output power ≤ 0 dBm</w:t>
            </w:r>
          </w:p>
        </w:tc>
        <w:tc>
          <w:tcPr>
            <w:tcW w:w="879" w:type="pct"/>
            <w:vMerge/>
            <w:tcBorders>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206"/>
          <w:jc w:val="center"/>
        </w:trPr>
        <w:tc>
          <w:tcPr>
            <w:tcW w:w="666" w:type="pct"/>
            <w:vMerge/>
            <w:tcBorders>
              <w:right w:val="single" w:sz="4" w:space="0" w:color="auto"/>
            </w:tcBorders>
            <w:shd w:val="clear" w:color="auto" w:fill="auto"/>
            <w:vAlign w:val="center"/>
          </w:tcPr>
          <w:p w:rsidR="00A52C94" w:rsidRPr="00611CC4" w:rsidRDefault="00A52C94" w:rsidP="00751A09">
            <w:pPr>
              <w:spacing w:before="0" w:after="0"/>
              <w:rPr>
                <w:b/>
              </w:rPr>
            </w:pPr>
          </w:p>
        </w:tc>
        <w:tc>
          <w:tcPr>
            <w:tcW w:w="609" w:type="pct"/>
            <w:vMerge/>
            <w:tcBorders>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-10 – Z4</w:t>
            </w:r>
          </w:p>
        </w:tc>
        <w:tc>
          <w:tcPr>
            <w:tcW w:w="2177" w:type="pct"/>
            <w:tcBorders>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79" w:type="pct"/>
            <w:vMerge/>
            <w:tcBorders>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424"/>
          <w:jc w:val="center"/>
        </w:trPr>
        <w:tc>
          <w:tcPr>
            <w:tcW w:w="5000" w:type="pct"/>
            <w:gridSpan w:val="5"/>
            <w:tcBorders>
              <w:right w:val="single" w:sz="4" w:space="0" w:color="auto"/>
            </w:tcBorders>
            <w:shd w:val="clear" w:color="auto" w:fill="auto"/>
            <w:vAlign w:val="center"/>
          </w:tcPr>
          <w:p w:rsidR="00A52C94" w:rsidRPr="00943D04" w:rsidRDefault="00A52C94" w:rsidP="00751A09">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Pr="00844D93">
              <w:rPr>
                <w:rFonts w:cs="Arial"/>
                <w:sz w:val="16"/>
                <w:highlight w:val="yellow"/>
              </w:rPr>
              <w:t>W</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p w:rsidR="00A52C94" w:rsidRPr="00A204ED" w:rsidRDefault="00A204ED" w:rsidP="00751A09">
            <w:pPr>
              <w:pStyle w:val="TAN"/>
              <w:keepNext w:val="0"/>
              <w:keepLines w:val="0"/>
              <w:spacing w:before="0"/>
              <w:rPr>
                <w:rFonts w:cs="Arial"/>
                <w:sz w:val="16"/>
              </w:rPr>
            </w:pPr>
            <w:r w:rsidRPr="00A204ED">
              <w:rPr>
                <w:rFonts w:cs="Arial"/>
                <w:sz w:val="16"/>
              </w:rPr>
              <w:t>….</w:t>
            </w:r>
          </w:p>
          <w:p w:rsidR="00A52C94" w:rsidRPr="00611CC4" w:rsidRDefault="00A52C94" w:rsidP="00751A09">
            <w:pPr>
              <w:pStyle w:val="TAN"/>
              <w:keepNext w:val="0"/>
              <w:keepLines w:val="0"/>
              <w:spacing w:before="0"/>
              <w:rPr>
                <w:rFonts w:cs="Arial"/>
              </w:rPr>
            </w:pPr>
            <w:r w:rsidRPr="00A52C94">
              <w:rPr>
                <w:rFonts w:cs="Arial"/>
                <w:sz w:val="16"/>
                <w:highlight w:val="yellow"/>
              </w:rPr>
              <w:t xml:space="preserve">NOTE 11:  </w:t>
            </w:r>
            <w:r>
              <w:rPr>
                <w:rFonts w:cs="Arial"/>
                <w:sz w:val="16"/>
                <w:highlight w:val="yellow"/>
              </w:rPr>
              <w:t xml:space="preserve">  </w:t>
            </w:r>
            <w:r w:rsidRPr="00A52C94">
              <w:rPr>
                <w:rFonts w:cs="Arial"/>
                <w:sz w:val="16"/>
                <w:highlight w:val="yellow"/>
              </w:rPr>
              <w:t>W = 10 dB; X1 = 10 dB; X2 = 3/7/10 dB for 64QAM / 16QAM / QPSK; Z1 = Z2 = 10dB;  Z3 = Z4 = 0dB</w:t>
            </w:r>
          </w:p>
        </w:tc>
      </w:tr>
    </w:tbl>
    <w:p w:rsidR="00521642" w:rsidRDefault="002F319B" w:rsidP="00943D04">
      <w:pPr>
        <w:jc w:val="both"/>
      </w:pPr>
      <w:r>
        <w:t xml:space="preserve">Examples of the </w:t>
      </w:r>
      <w:r w:rsidR="00BD0F10">
        <w:t xml:space="preserve">original and proposed tightened IBE models </w:t>
      </w:r>
      <w:r>
        <w:t xml:space="preserve">for the case for 20MHz CBW + 15 kHz SCS </w:t>
      </w:r>
      <w:r w:rsidR="00BD0F10">
        <w:t xml:space="preserve">are illustrated in </w:t>
      </w:r>
      <w:r w:rsidR="002D3C60">
        <w:t xml:space="preserve">Figure </w:t>
      </w:r>
      <w:r w:rsidR="00C26181">
        <w:t>1</w:t>
      </w:r>
      <w:r w:rsidR="00844D93">
        <w:t>.</w:t>
      </w:r>
    </w:p>
    <w:p w:rsidR="008136DD" w:rsidRDefault="008136DD" w:rsidP="008136DD">
      <w:pPr>
        <w:keepNext/>
        <w:jc w:val="center"/>
      </w:pPr>
      <w:r w:rsidRPr="008136DD">
        <w:rPr>
          <w:noProof/>
          <w:lang w:eastAsia="en-GB"/>
        </w:rPr>
        <w:drawing>
          <wp:inline distT="0" distB="0" distL="0" distR="0" wp14:anchorId="40267A8E" wp14:editId="370CC445">
            <wp:extent cx="3264110" cy="244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64110" cy="2448000"/>
                    </a:xfrm>
                    <a:prstGeom prst="rect">
                      <a:avLst/>
                    </a:prstGeom>
                  </pic:spPr>
                </pic:pic>
              </a:graphicData>
            </a:graphic>
          </wp:inline>
        </w:drawing>
      </w:r>
    </w:p>
    <w:p w:rsidR="008136DD" w:rsidRDefault="008136DD" w:rsidP="002F319B">
      <w:pPr>
        <w:pStyle w:val="Caption"/>
        <w:keepNext w:val="0"/>
        <w:jc w:val="center"/>
      </w:pPr>
      <w:r>
        <w:t xml:space="preserve">Figure </w:t>
      </w:r>
      <w:r>
        <w:fldChar w:fldCharType="begin"/>
      </w:r>
      <w:r>
        <w:instrText xml:space="preserve"> SEQ Figure \* ARABIC </w:instrText>
      </w:r>
      <w:r>
        <w:fldChar w:fldCharType="separate"/>
      </w:r>
      <w:r>
        <w:rPr>
          <w:noProof/>
        </w:rPr>
        <w:t>2</w:t>
      </w:r>
      <w:r>
        <w:fldChar w:fldCharType="end"/>
      </w:r>
      <w:r>
        <w:t xml:space="preserve">. Legacy/Tightened IBE models </w:t>
      </w:r>
    </w:p>
    <w:p w:rsidR="00A52C94" w:rsidRDefault="00A52C94" w:rsidP="00A52C94">
      <w:pPr>
        <w:ind w:left="1276" w:hanging="1276"/>
        <w:jc w:val="both"/>
        <w:rPr>
          <w:b/>
        </w:rPr>
      </w:pPr>
      <w:r w:rsidRPr="00A204ED">
        <w:rPr>
          <w:b/>
        </w:rPr>
        <w:lastRenderedPageBreak/>
        <w:t>Proposal #1:</w:t>
      </w:r>
      <w:r w:rsidRPr="00A204ED">
        <w:rPr>
          <w:b/>
        </w:rPr>
        <w:tab/>
        <w:t xml:space="preserve">Use the FR1 IBE model </w:t>
      </w:r>
      <w:r w:rsidR="00A204ED" w:rsidRPr="00A204ED">
        <w:rPr>
          <w:b/>
        </w:rPr>
        <w:t>defined in T</w:t>
      </w:r>
      <w:bookmarkStart w:id="3" w:name="_GoBack"/>
      <w:bookmarkEnd w:id="3"/>
      <w:r w:rsidR="00A204ED" w:rsidRPr="00A204ED">
        <w:rPr>
          <w:b/>
        </w:rPr>
        <w:t>able 1 for</w:t>
      </w:r>
      <w:r w:rsidRPr="00A204ED">
        <w:rPr>
          <w:b/>
        </w:rPr>
        <w:t xml:space="preserve"> NR V2X studies</w:t>
      </w:r>
    </w:p>
    <w:p w:rsidR="00E41DB4" w:rsidRPr="00032905" w:rsidRDefault="00E41DB4" w:rsidP="00E41DB4">
      <w:pPr>
        <w:pStyle w:val="Heading2"/>
        <w:rPr>
          <w:lang w:val="en-US"/>
        </w:rPr>
      </w:pPr>
      <w:r w:rsidRPr="00032905">
        <w:rPr>
          <w:lang w:val="en-US"/>
        </w:rPr>
        <w:t>AGC settling time</w:t>
      </w:r>
    </w:p>
    <w:p w:rsidR="00E41DB4" w:rsidRPr="00032905" w:rsidRDefault="00E41DB4" w:rsidP="00E41DB4">
      <w:pPr>
        <w:jc w:val="both"/>
      </w:pPr>
      <w:r w:rsidRPr="00032905">
        <w:t xml:space="preserve">In LTE V2X, the assumptions on AGC design are as follows: </w:t>
      </w:r>
    </w:p>
    <w:p w:rsidR="00E41DB4" w:rsidRPr="00032905" w:rsidRDefault="00E41DB4" w:rsidP="00023DD2">
      <w:pPr>
        <w:numPr>
          <w:ilvl w:val="0"/>
          <w:numId w:val="9"/>
        </w:numPr>
        <w:jc w:val="both"/>
      </w:pPr>
      <w:r w:rsidRPr="00032905">
        <w:t xml:space="preserve">UE employs an AGC implementation based on energy estimation in time domain </w:t>
      </w:r>
    </w:p>
    <w:p w:rsidR="00E41DB4" w:rsidRPr="00032905" w:rsidRDefault="00E41DB4" w:rsidP="00023DD2">
      <w:pPr>
        <w:numPr>
          <w:ilvl w:val="0"/>
          <w:numId w:val="9"/>
        </w:numPr>
        <w:jc w:val="both"/>
      </w:pPr>
      <w:r w:rsidRPr="00032905">
        <w:t>AGC settling time is one LTE symbol (up to 70us) [</w:t>
      </w:r>
      <w:r w:rsidR="00F55C34">
        <w:t>5</w:t>
      </w:r>
      <w:r w:rsidRPr="00032905">
        <w:t>].</w:t>
      </w:r>
    </w:p>
    <w:p w:rsidR="00E41DB4" w:rsidRPr="00032905" w:rsidRDefault="00E41DB4" w:rsidP="00E41DB4">
      <w:pPr>
        <w:jc w:val="both"/>
      </w:pPr>
      <w:r w:rsidRPr="00032905">
        <w:t xml:space="preserve">In NR V2X, the current RAN1 assumption for AGC is up to [15] µs in FR1 and up to [10] µs in FR2. With these settling times, UE may complete AGC training within 1 symbol for SCS = </w:t>
      </w:r>
      <w:proofErr w:type="gramStart"/>
      <w:r w:rsidRPr="00032905">
        <w:t>15kHz</w:t>
      </w:r>
      <w:proofErr w:type="gramEnd"/>
      <w:r w:rsidRPr="00032905">
        <w:t xml:space="preserve">, 30kHz, 60kHz; and within 2 symbols for SCS = 120kHz. </w:t>
      </w:r>
      <w:r w:rsidR="00F9559B" w:rsidRPr="00032905">
        <w:t>Therefore, the proposed value assume substantial tightening of the existing value and should be carefully analysed.</w:t>
      </w:r>
    </w:p>
    <w:p w:rsidR="00E41DB4" w:rsidRPr="001C73C4" w:rsidRDefault="00E41DB4" w:rsidP="00E41DB4">
      <w:pPr>
        <w:jc w:val="both"/>
      </w:pPr>
      <w:r w:rsidRPr="001C73C4">
        <w:t xml:space="preserve">For the design of AGC settling time, </w:t>
      </w:r>
      <w:r w:rsidR="00F55C34">
        <w:t xml:space="preserve">we think it should </w:t>
      </w:r>
      <w:r w:rsidRPr="001C73C4">
        <w:t xml:space="preserve">include the following </w:t>
      </w:r>
      <w:r w:rsidR="001C3227" w:rsidRPr="001C73C4">
        <w:t>components</w:t>
      </w:r>
      <w:r w:rsidR="001C3227">
        <w:t>:</w:t>
      </w:r>
    </w:p>
    <w:p w:rsidR="00F55C34" w:rsidRPr="001C73C4" w:rsidRDefault="00F55C34" w:rsidP="00F55C34">
      <w:pPr>
        <w:ind w:left="288"/>
        <w:jc w:val="both"/>
      </w:pPr>
      <w:r w:rsidRPr="001C73C4">
        <w:t xml:space="preserve">(a) </w:t>
      </w:r>
      <w:proofErr w:type="gramStart"/>
      <w:r>
        <w:t>time</w:t>
      </w:r>
      <w:proofErr w:type="gramEnd"/>
      <w:r>
        <w:t xml:space="preserve"> offset from the start of the OFDM symbol to account for signal propagation delay</w:t>
      </w:r>
      <w:r w:rsidRPr="001C73C4">
        <w:t xml:space="preserve">, </w:t>
      </w:r>
    </w:p>
    <w:p w:rsidR="00E41DB4" w:rsidRPr="001C73C4" w:rsidRDefault="00E41DB4" w:rsidP="00F55C34">
      <w:pPr>
        <w:ind w:left="288"/>
        <w:jc w:val="both"/>
      </w:pPr>
      <w:r w:rsidRPr="001C73C4">
        <w:t>(</w:t>
      </w:r>
      <w:r w:rsidR="00F55C34">
        <w:t>b</w:t>
      </w:r>
      <w:r w:rsidRPr="001C73C4">
        <w:t xml:space="preserve">) </w:t>
      </w:r>
      <w:proofErr w:type="gramStart"/>
      <w:r w:rsidRPr="001C73C4">
        <w:t>time</w:t>
      </w:r>
      <w:proofErr w:type="gramEnd"/>
      <w:r w:rsidRPr="001C73C4">
        <w:t xml:space="preserve"> to receive the window of samples used for estimating the gain, </w:t>
      </w:r>
    </w:p>
    <w:p w:rsidR="00E41DB4" w:rsidRPr="001C73C4" w:rsidRDefault="00E41DB4" w:rsidP="00943D04">
      <w:pPr>
        <w:ind w:left="288"/>
        <w:jc w:val="both"/>
      </w:pPr>
      <w:r w:rsidRPr="001C73C4">
        <w:t>(</w:t>
      </w:r>
      <w:r w:rsidR="00F55C34">
        <w:t>c</w:t>
      </w:r>
      <w:r w:rsidRPr="001C73C4">
        <w:t xml:space="preserve">) </w:t>
      </w:r>
      <w:proofErr w:type="gramStart"/>
      <w:r w:rsidRPr="001C73C4">
        <w:t>time</w:t>
      </w:r>
      <w:proofErr w:type="gramEnd"/>
      <w:r w:rsidRPr="001C73C4">
        <w:t xml:space="preserve"> for estimating and programming the desired gain setting, </w:t>
      </w:r>
    </w:p>
    <w:p w:rsidR="00F21345" w:rsidRPr="001C73C4" w:rsidRDefault="00E41DB4" w:rsidP="00F21345">
      <w:pPr>
        <w:ind w:left="288"/>
        <w:jc w:val="both"/>
      </w:pPr>
      <w:r w:rsidRPr="001C73C4">
        <w:t>(</w:t>
      </w:r>
      <w:r w:rsidR="00F55C34">
        <w:t>d</w:t>
      </w:r>
      <w:r w:rsidRPr="001C73C4">
        <w:t xml:space="preserve">) </w:t>
      </w:r>
      <w:proofErr w:type="gramStart"/>
      <w:r w:rsidRPr="001C73C4">
        <w:t>time</w:t>
      </w:r>
      <w:proofErr w:type="gramEnd"/>
      <w:r w:rsidRPr="001C73C4">
        <w:t xml:space="preserve"> </w:t>
      </w:r>
      <w:r w:rsidR="001C3227">
        <w:t xml:space="preserve">for </w:t>
      </w:r>
      <w:r w:rsidRPr="001C73C4">
        <w:t xml:space="preserve">the gain setting taking into effect. </w:t>
      </w:r>
    </w:p>
    <w:p w:rsidR="00032905" w:rsidRDefault="00F55C34" w:rsidP="00E41DB4">
      <w:pPr>
        <w:jc w:val="both"/>
        <w:rPr>
          <w:highlight w:val="yellow"/>
        </w:rPr>
      </w:pPr>
      <w:r>
        <w:t xml:space="preserve">The duration of period (a) can be estimated as CP/2. </w:t>
      </w:r>
      <w:r w:rsidR="001C3227">
        <w:t>For (</w:t>
      </w:r>
      <w:r>
        <w:t>b</w:t>
      </w:r>
      <w:r w:rsidR="001C3227">
        <w:t>), one first needs to know the accuracy criterion for energy estimation, i.e., X dB to the actual average energy with probability of Y. With the accuracy criterion, the time duration (</w:t>
      </w:r>
      <w:r>
        <w:t>b</w:t>
      </w:r>
      <w:r w:rsidR="001C3227">
        <w:t xml:space="preserve">) can be derived by </w:t>
      </w:r>
      <w:r>
        <w:t>link-</w:t>
      </w:r>
      <w:r w:rsidR="001C3227">
        <w:t>level simulations [</w:t>
      </w:r>
      <w:r>
        <w:t>5</w:t>
      </w:r>
      <w:r w:rsidR="001C3227">
        <w:t>].  For (</w:t>
      </w:r>
      <w:r>
        <w:t>c</w:t>
      </w:r>
      <w:proofErr w:type="gramStart"/>
      <w:r w:rsidR="001C3227">
        <w:t>)+</w:t>
      </w:r>
      <w:proofErr w:type="gramEnd"/>
      <w:r w:rsidR="001C3227">
        <w:t>(</w:t>
      </w:r>
      <w:r>
        <w:t>d</w:t>
      </w:r>
      <w:r w:rsidR="001C3227">
        <w:t xml:space="preserve">), </w:t>
      </w:r>
      <w:r w:rsidR="00C84C6D">
        <w:t>the time for programming the AGC gain plus the time for applying the gain, it</w:t>
      </w:r>
      <w:r w:rsidR="00E41DB4" w:rsidRPr="001C73C4">
        <w:t xml:space="preserve"> </w:t>
      </w:r>
      <w:r w:rsidR="00C84C6D">
        <w:t xml:space="preserve">eventually </w:t>
      </w:r>
      <w:r w:rsidR="00E41DB4" w:rsidRPr="001C73C4">
        <w:t xml:space="preserve">depends on UE implementation. At current stage, it is not </w:t>
      </w:r>
      <w:r w:rsidR="002F319B">
        <w:t xml:space="preserve">clear </w:t>
      </w:r>
      <w:r w:rsidR="00E41DB4" w:rsidRPr="001C73C4">
        <w:t>sure UE can complete the above three tasks within 15 µs for FR1 and 10 µs for FR2.</w:t>
      </w:r>
    </w:p>
    <w:p w:rsidR="00C84C6D" w:rsidRPr="002F319B" w:rsidRDefault="00C84C6D" w:rsidP="00C84C6D">
      <w:pPr>
        <w:ind w:left="1276" w:hanging="1276"/>
        <w:jc w:val="both"/>
        <w:rPr>
          <w:b/>
          <w:i/>
        </w:rPr>
      </w:pPr>
      <w:r w:rsidRPr="002F319B">
        <w:rPr>
          <w:b/>
          <w:i/>
        </w:rPr>
        <w:t>Observation</w:t>
      </w:r>
      <w:r w:rsidR="00755A86" w:rsidRPr="002F319B">
        <w:rPr>
          <w:b/>
          <w:i/>
        </w:rPr>
        <w:t xml:space="preserve"> #1</w:t>
      </w:r>
      <w:r w:rsidRPr="002F319B">
        <w:rPr>
          <w:b/>
          <w:i/>
        </w:rPr>
        <w:t>: AGC settling time involves</w:t>
      </w:r>
    </w:p>
    <w:p w:rsidR="002F319B" w:rsidRPr="002F319B" w:rsidRDefault="002F319B" w:rsidP="002F319B">
      <w:pPr>
        <w:pStyle w:val="ListParagraph"/>
        <w:numPr>
          <w:ilvl w:val="0"/>
          <w:numId w:val="18"/>
        </w:numPr>
        <w:ind w:left="1843" w:hanging="283"/>
        <w:jc w:val="both"/>
        <w:rPr>
          <w:b/>
          <w:i/>
        </w:rPr>
      </w:pPr>
      <w:r w:rsidRPr="002F319B">
        <w:rPr>
          <w:rFonts w:ascii="Times New Roman" w:hAnsi="Times New Roman"/>
          <w:b/>
          <w:i/>
          <w:sz w:val="20"/>
          <w:szCs w:val="20"/>
        </w:rPr>
        <w:t>CP/2 time offset from the start of the OFDM symbol to account for signal propagation delay</w:t>
      </w:r>
    </w:p>
    <w:p w:rsidR="00C84C6D" w:rsidRPr="002F319B" w:rsidRDefault="002F319B" w:rsidP="002F319B">
      <w:pPr>
        <w:pStyle w:val="ListParagraph"/>
        <w:numPr>
          <w:ilvl w:val="0"/>
          <w:numId w:val="18"/>
        </w:numPr>
        <w:ind w:left="1843" w:hanging="283"/>
        <w:jc w:val="both"/>
        <w:rPr>
          <w:b/>
          <w:i/>
        </w:rPr>
      </w:pPr>
      <w:r>
        <w:rPr>
          <w:rFonts w:ascii="Times New Roman" w:hAnsi="Times New Roman"/>
          <w:b/>
          <w:i/>
          <w:sz w:val="20"/>
          <w:szCs w:val="20"/>
        </w:rPr>
        <w:t>T</w:t>
      </w:r>
      <w:r w:rsidR="003542BB" w:rsidRPr="002F319B">
        <w:rPr>
          <w:rFonts w:ascii="Times New Roman" w:hAnsi="Times New Roman"/>
          <w:b/>
          <w:i/>
          <w:sz w:val="20"/>
          <w:szCs w:val="20"/>
        </w:rPr>
        <w:t xml:space="preserve">ime </w:t>
      </w:r>
      <w:r w:rsidR="00755A86" w:rsidRPr="002F319B">
        <w:rPr>
          <w:rFonts w:ascii="Times New Roman" w:hAnsi="Times New Roman"/>
          <w:b/>
          <w:i/>
          <w:sz w:val="20"/>
          <w:szCs w:val="20"/>
        </w:rPr>
        <w:t xml:space="preserve">duration </w:t>
      </w:r>
      <w:r w:rsidR="003542BB" w:rsidRPr="002F319B">
        <w:rPr>
          <w:rFonts w:ascii="Times New Roman" w:hAnsi="Times New Roman"/>
          <w:b/>
          <w:i/>
          <w:sz w:val="20"/>
          <w:szCs w:val="20"/>
        </w:rPr>
        <w:t xml:space="preserve">for energy estimation, which can be derived from </w:t>
      </w:r>
      <w:r w:rsidRPr="002F319B">
        <w:rPr>
          <w:rFonts w:ascii="Times New Roman" w:hAnsi="Times New Roman"/>
          <w:b/>
          <w:i/>
          <w:sz w:val="20"/>
          <w:szCs w:val="20"/>
        </w:rPr>
        <w:t>link</w:t>
      </w:r>
      <w:r w:rsidR="003542BB" w:rsidRPr="002F319B">
        <w:rPr>
          <w:rFonts w:ascii="Times New Roman" w:hAnsi="Times New Roman"/>
          <w:b/>
          <w:i/>
          <w:sz w:val="20"/>
          <w:szCs w:val="20"/>
        </w:rPr>
        <w:t>-level simulations if the accuracy requirement for energy estimation is provided</w:t>
      </w:r>
    </w:p>
    <w:p w:rsidR="003542BB" w:rsidRPr="002F319B" w:rsidRDefault="002F319B" w:rsidP="002F319B">
      <w:pPr>
        <w:pStyle w:val="ListParagraph"/>
        <w:numPr>
          <w:ilvl w:val="0"/>
          <w:numId w:val="18"/>
        </w:numPr>
        <w:ind w:left="1843" w:hanging="283"/>
        <w:jc w:val="both"/>
        <w:rPr>
          <w:b/>
          <w:i/>
        </w:rPr>
      </w:pPr>
      <w:r>
        <w:rPr>
          <w:rFonts w:ascii="Times New Roman" w:hAnsi="Times New Roman"/>
          <w:b/>
          <w:i/>
          <w:sz w:val="20"/>
          <w:szCs w:val="20"/>
        </w:rPr>
        <w:t>T</w:t>
      </w:r>
      <w:r w:rsidR="003542BB" w:rsidRPr="002F319B">
        <w:rPr>
          <w:rFonts w:ascii="Times New Roman" w:hAnsi="Times New Roman"/>
          <w:b/>
          <w:i/>
          <w:sz w:val="20"/>
          <w:szCs w:val="20"/>
        </w:rPr>
        <w:t>ime</w:t>
      </w:r>
      <w:r w:rsidR="00755A86" w:rsidRPr="002F319B">
        <w:rPr>
          <w:rFonts w:ascii="Times New Roman" w:hAnsi="Times New Roman"/>
          <w:b/>
          <w:i/>
          <w:sz w:val="20"/>
          <w:szCs w:val="20"/>
        </w:rPr>
        <w:t xml:space="preserve"> </w:t>
      </w:r>
      <w:r w:rsidR="003542BB" w:rsidRPr="002F319B">
        <w:rPr>
          <w:rFonts w:ascii="Times New Roman" w:hAnsi="Times New Roman"/>
          <w:b/>
          <w:i/>
          <w:sz w:val="20"/>
          <w:szCs w:val="20"/>
        </w:rPr>
        <w:t>for UE to program and ap</w:t>
      </w:r>
      <w:r w:rsidR="00755A86" w:rsidRPr="002F319B">
        <w:rPr>
          <w:rFonts w:ascii="Times New Roman" w:hAnsi="Times New Roman"/>
          <w:b/>
          <w:i/>
          <w:sz w:val="20"/>
          <w:szCs w:val="20"/>
        </w:rPr>
        <w:t xml:space="preserve">ply the estimated AGC gain, which </w:t>
      </w:r>
      <w:r w:rsidR="003542BB" w:rsidRPr="002F319B">
        <w:rPr>
          <w:rFonts w:ascii="Times New Roman" w:hAnsi="Times New Roman"/>
          <w:b/>
          <w:i/>
          <w:sz w:val="20"/>
          <w:szCs w:val="20"/>
        </w:rPr>
        <w:t>depends on UE implementation.</w:t>
      </w:r>
    </w:p>
    <w:p w:rsidR="00C84C6D" w:rsidRDefault="00C84C6D" w:rsidP="00E41DB4">
      <w:pPr>
        <w:jc w:val="both"/>
        <w:rPr>
          <w:highlight w:val="yellow"/>
        </w:rPr>
      </w:pPr>
    </w:p>
    <w:p w:rsidR="00E41DB4" w:rsidRPr="002F319B" w:rsidRDefault="00E41DB4" w:rsidP="00E41DB4">
      <w:pPr>
        <w:pStyle w:val="Heading2"/>
      </w:pPr>
      <w:r w:rsidRPr="002F319B">
        <w:t>Timing error</w:t>
      </w:r>
    </w:p>
    <w:p w:rsidR="00E41DB4" w:rsidRPr="009D6D16" w:rsidRDefault="00E41DB4" w:rsidP="00E41DB4">
      <w:pPr>
        <w:jc w:val="both"/>
      </w:pPr>
      <w:r w:rsidRPr="009D6D16">
        <w:t xml:space="preserve">The </w:t>
      </w:r>
      <w:r>
        <w:t xml:space="preserve">timing error requirement can be different in NR V2X provided different synchronization reference sources. In V2X content, there are three types of synchronization reference sources, i.e., gNB, GNSS, and </w:t>
      </w:r>
      <w:r w:rsidRPr="009D6D16">
        <w:t>Sync Ref UE</w:t>
      </w:r>
      <w:r w:rsidR="00F9559B">
        <w:t xml:space="preserve"> (although the exact synch reference sources are not yet decided by RAN1, we assume that at least the same set of sources as in LTE can be anticipated).</w:t>
      </w:r>
    </w:p>
    <w:p w:rsidR="00E41DB4" w:rsidRDefault="00E41DB4" w:rsidP="00943D04">
      <w:pPr>
        <w:jc w:val="both"/>
      </w:pPr>
      <w:r w:rsidRPr="009D6D16">
        <w:t>For gNB based synchronization</w:t>
      </w:r>
      <w:r>
        <w:t xml:space="preserve">, the UL timing error defined in TS 38.133 section 7.1.2 can be reused. The detailed requirement is duplicated in </w:t>
      </w:r>
      <w:r>
        <w:fldChar w:fldCharType="begin"/>
      </w:r>
      <w:r>
        <w:instrText xml:space="preserve"> REF _Ref525840901 \h </w:instrText>
      </w:r>
      <w:r>
        <w:fldChar w:fldCharType="separate"/>
      </w:r>
      <w:r w:rsidRPr="00D93A8C">
        <w:t xml:space="preserve">Table </w:t>
      </w:r>
      <w:r w:rsidR="00153208">
        <w:t>2</w:t>
      </w:r>
      <w:r>
        <w:fldChar w:fldCharType="end"/>
      </w:r>
      <w:r>
        <w:t xml:space="preserve">. </w:t>
      </w:r>
    </w:p>
    <w:p w:rsidR="00E41DB4" w:rsidRPr="00D93A8C" w:rsidRDefault="00E41DB4" w:rsidP="00E41DB4">
      <w:pPr>
        <w:pStyle w:val="Caption"/>
        <w:jc w:val="center"/>
        <w:rPr>
          <w:sz w:val="20"/>
          <w:lang w:eastAsia="ja-JP" w:bidi="hi-IN"/>
        </w:rPr>
      </w:pPr>
      <w:bookmarkStart w:id="4" w:name="_Ref525840901"/>
      <w:r w:rsidRPr="002F319B">
        <w:rPr>
          <w:sz w:val="20"/>
        </w:rPr>
        <w:t xml:space="preserve">Table </w:t>
      </w:r>
      <w:r w:rsidRPr="002F319B">
        <w:rPr>
          <w:sz w:val="20"/>
        </w:rPr>
        <w:fldChar w:fldCharType="begin"/>
      </w:r>
      <w:r w:rsidRPr="002F319B">
        <w:rPr>
          <w:sz w:val="20"/>
        </w:rPr>
        <w:instrText xml:space="preserve"> SEQ Table \* ARABIC </w:instrText>
      </w:r>
      <w:r w:rsidRPr="002F319B">
        <w:rPr>
          <w:sz w:val="20"/>
        </w:rPr>
        <w:fldChar w:fldCharType="separate"/>
      </w:r>
      <w:r w:rsidR="00A52C94" w:rsidRPr="002F319B">
        <w:rPr>
          <w:noProof/>
          <w:sz w:val="20"/>
        </w:rPr>
        <w:t>2</w:t>
      </w:r>
      <w:r w:rsidRPr="002F319B">
        <w:rPr>
          <w:sz w:val="20"/>
        </w:rPr>
        <w:fldChar w:fldCharType="end"/>
      </w:r>
      <w:bookmarkEnd w:id="4"/>
      <w:r w:rsidRPr="002F319B">
        <w:rPr>
          <w:sz w:val="20"/>
        </w:rPr>
        <w:t>: Timing error limit for gNB based synchronization</w:t>
      </w:r>
    </w:p>
    <w:tbl>
      <w:tblPr>
        <w:tblW w:w="4163" w:type="pct"/>
        <w:jc w:val="center"/>
        <w:tblCellMar>
          <w:left w:w="0" w:type="dxa"/>
          <w:right w:w="0" w:type="dxa"/>
        </w:tblCellMar>
        <w:tblLook w:val="04A0" w:firstRow="1" w:lastRow="0" w:firstColumn="1" w:lastColumn="0" w:noHBand="0" w:noVBand="1"/>
      </w:tblPr>
      <w:tblGrid>
        <w:gridCol w:w="1278"/>
        <w:gridCol w:w="1538"/>
        <w:gridCol w:w="1539"/>
        <w:gridCol w:w="2166"/>
        <w:gridCol w:w="1488"/>
      </w:tblGrid>
      <w:tr w:rsidR="00E41DB4" w:rsidRPr="009D6D16" w:rsidTr="00943D04">
        <w:trPr>
          <w:cantSplit/>
          <w:jc w:val="center"/>
        </w:trPr>
        <w:tc>
          <w:tcPr>
            <w:tcW w:w="7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H"/>
              <w:spacing w:before="60" w:after="60"/>
              <w:rPr>
                <w:rFonts w:ascii="Times New Roman" w:hAnsi="Times New Roman"/>
                <w:sz w:val="20"/>
                <w:lang w:eastAsia="zh-CN"/>
              </w:rPr>
            </w:pPr>
            <w:r w:rsidRPr="009D6D16">
              <w:rPr>
                <w:rFonts w:ascii="Times New Roman" w:hAnsi="Times New Roman"/>
                <w:sz w:val="20"/>
                <w:lang w:eastAsia="zh-CN"/>
              </w:rPr>
              <w:t>Frequency Range</w:t>
            </w:r>
          </w:p>
        </w:tc>
        <w:tc>
          <w:tcPr>
            <w:tcW w:w="9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H"/>
              <w:spacing w:before="60" w:after="60"/>
              <w:rPr>
                <w:rFonts w:ascii="Times New Roman" w:hAnsi="Times New Roman"/>
                <w:sz w:val="20"/>
              </w:rPr>
            </w:pPr>
            <w:r w:rsidRPr="009D6D16">
              <w:rPr>
                <w:rFonts w:ascii="Times New Roman" w:hAnsi="Times New Roman"/>
                <w:sz w:val="20"/>
                <w:lang w:eastAsia="zh-CN"/>
              </w:rPr>
              <w:t>SCS</w:t>
            </w:r>
            <w:r w:rsidRPr="009D6D16">
              <w:rPr>
                <w:rFonts w:ascii="Times New Roman" w:hAnsi="Times New Roman"/>
                <w:sz w:val="20"/>
              </w:rPr>
              <w:t xml:space="preserve"> </w:t>
            </w:r>
            <w:r w:rsidRPr="009D6D16">
              <w:rPr>
                <w:rFonts w:ascii="Times New Roman" w:hAnsi="Times New Roman"/>
                <w:sz w:val="20"/>
                <w:lang w:eastAsia="zh-CN"/>
              </w:rPr>
              <w:t>of</w:t>
            </w:r>
            <w:r w:rsidRPr="009D6D16">
              <w:rPr>
                <w:rFonts w:ascii="Times New Roman" w:hAnsi="Times New Roman"/>
                <w:sz w:val="20"/>
              </w:rPr>
              <w:t xml:space="preserve"> </w:t>
            </w:r>
            <w:r w:rsidRPr="009D6D16">
              <w:rPr>
                <w:rFonts w:ascii="Times New Roman" w:hAnsi="Times New Roman"/>
                <w:sz w:val="20"/>
                <w:lang w:eastAsia="zh-CN"/>
              </w:rPr>
              <w:t xml:space="preserve">SSB signals </w:t>
            </w:r>
            <w:r w:rsidRPr="009D6D16">
              <w:rPr>
                <w:rFonts w:ascii="Times New Roman" w:hAnsi="Times New Roman"/>
                <w:sz w:val="20"/>
              </w:rPr>
              <w:t>(KHz)</w:t>
            </w:r>
          </w:p>
        </w:tc>
        <w:tc>
          <w:tcPr>
            <w:tcW w:w="9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421A33">
            <w:pPr>
              <w:pStyle w:val="TAH"/>
              <w:spacing w:before="60" w:after="60"/>
              <w:rPr>
                <w:rFonts w:ascii="Times New Roman" w:hAnsi="Times New Roman"/>
                <w:sz w:val="20"/>
              </w:rPr>
            </w:pPr>
            <w:r w:rsidRPr="009D6D16">
              <w:rPr>
                <w:rFonts w:ascii="Times New Roman" w:hAnsi="Times New Roman"/>
                <w:sz w:val="20"/>
                <w:lang w:eastAsia="zh-CN"/>
              </w:rPr>
              <w:t>SCS of</w:t>
            </w:r>
            <w:r w:rsidRPr="009D6D16">
              <w:rPr>
                <w:rFonts w:ascii="Times New Roman" w:hAnsi="Times New Roman"/>
                <w:sz w:val="20"/>
              </w:rPr>
              <w:t xml:space="preserve"> </w:t>
            </w:r>
            <w:r w:rsidRPr="00943D04">
              <w:rPr>
                <w:rFonts w:ascii="Times New Roman" w:hAnsi="Times New Roman"/>
                <w:color w:val="FF0000"/>
                <w:sz w:val="20"/>
              </w:rPr>
              <w:t>sidelink</w:t>
            </w:r>
            <w:r w:rsidRPr="009D6D16">
              <w:rPr>
                <w:rFonts w:ascii="Times New Roman" w:hAnsi="Times New Roman"/>
                <w:sz w:val="20"/>
                <w:lang w:eastAsia="zh-CN"/>
              </w:rPr>
              <w:t xml:space="preserve"> signals</w:t>
            </w:r>
            <w:r w:rsidR="00421A33">
              <w:rPr>
                <w:rFonts w:ascii="Times New Roman" w:hAnsi="Times New Roman"/>
                <w:sz w:val="20"/>
                <w:lang w:eastAsia="zh-CN"/>
              </w:rPr>
              <w:t xml:space="preserve"> </w:t>
            </w:r>
            <w:r w:rsidRPr="009D6D16">
              <w:rPr>
                <w:rFonts w:ascii="Times New Roman" w:hAnsi="Times New Roman"/>
                <w:sz w:val="20"/>
              </w:rPr>
              <w:t>(KHz)</w:t>
            </w:r>
          </w:p>
        </w:tc>
        <w:tc>
          <w:tcPr>
            <w:tcW w:w="13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H"/>
              <w:spacing w:before="60" w:after="60"/>
              <w:rPr>
                <w:rFonts w:ascii="Times New Roman" w:hAnsi="Times New Roman"/>
                <w:sz w:val="20"/>
              </w:rPr>
            </w:pPr>
            <w:proofErr w:type="spellStart"/>
            <w:r w:rsidRPr="009D6D16">
              <w:rPr>
                <w:rFonts w:ascii="Times New Roman" w:hAnsi="Times New Roman"/>
                <w:sz w:val="20"/>
              </w:rPr>
              <w:t>T</w:t>
            </w:r>
            <w:r w:rsidRPr="009D6D16">
              <w:rPr>
                <w:rFonts w:ascii="Times New Roman" w:hAnsi="Times New Roman"/>
                <w:sz w:val="20"/>
                <w:vertAlign w:val="subscript"/>
              </w:rPr>
              <w:t>e</w:t>
            </w:r>
            <w:proofErr w:type="spellEnd"/>
          </w:p>
        </w:tc>
        <w:tc>
          <w:tcPr>
            <w:tcW w:w="929" w:type="pct"/>
            <w:tcBorders>
              <w:top w:val="single" w:sz="8" w:space="0" w:color="auto"/>
              <w:left w:val="nil"/>
              <w:bottom w:val="single" w:sz="8" w:space="0" w:color="auto"/>
              <w:right w:val="single" w:sz="8" w:space="0" w:color="auto"/>
            </w:tcBorders>
            <w:vAlign w:val="center"/>
          </w:tcPr>
          <w:p w:rsidR="00E41DB4" w:rsidRPr="009D6D16" w:rsidRDefault="00943D04" w:rsidP="00943D04">
            <w:pPr>
              <w:pStyle w:val="TAH"/>
              <w:spacing w:before="60" w:after="60"/>
              <w:rPr>
                <w:rFonts w:ascii="Times New Roman" w:hAnsi="Times New Roman"/>
                <w:sz w:val="20"/>
              </w:rPr>
            </w:pPr>
            <w:proofErr w:type="spellStart"/>
            <w:r w:rsidRPr="009D6D16">
              <w:rPr>
                <w:rFonts w:ascii="Times New Roman" w:hAnsi="Times New Roman"/>
                <w:sz w:val="20"/>
              </w:rPr>
              <w:t>T</w:t>
            </w:r>
            <w:r w:rsidRPr="009D6D16">
              <w:rPr>
                <w:rFonts w:ascii="Times New Roman" w:hAnsi="Times New Roman"/>
                <w:sz w:val="20"/>
                <w:vertAlign w:val="subscript"/>
              </w:rPr>
              <w:t>e</w:t>
            </w:r>
            <w:proofErr w:type="spellEnd"/>
            <w:r>
              <w:rPr>
                <w:rFonts w:ascii="Times New Roman" w:hAnsi="Times New Roman"/>
                <w:sz w:val="20"/>
              </w:rPr>
              <w:t>, [</w:t>
            </w:r>
            <w:r w:rsidR="00E41DB4">
              <w:rPr>
                <w:rFonts w:ascii="Times New Roman" w:hAnsi="Times New Roman"/>
                <w:sz w:val="20"/>
              </w:rPr>
              <w:t>µs</w:t>
            </w:r>
            <w:r>
              <w:rPr>
                <w:rFonts w:ascii="Times New Roman" w:hAnsi="Times New Roman"/>
                <w:sz w:val="20"/>
              </w:rPr>
              <w:t>]</w:t>
            </w:r>
          </w:p>
        </w:tc>
      </w:tr>
      <w:tr w:rsidR="00E41DB4" w:rsidRPr="009D6D16" w:rsidTr="00D6028B">
        <w:trPr>
          <w:cantSplit/>
          <w:jc w:val="center"/>
        </w:trPr>
        <w:tc>
          <w:tcPr>
            <w:tcW w:w="79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1</w:t>
            </w:r>
          </w:p>
        </w:tc>
        <w:tc>
          <w:tcPr>
            <w:tcW w:w="96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C"/>
              <w:spacing w:before="60" w:after="60"/>
              <w:rPr>
                <w:rFonts w:ascii="Times New Roman" w:hAnsi="Times New Roman"/>
                <w:sz w:val="20"/>
              </w:rPr>
            </w:pPr>
            <w:r w:rsidRPr="009D6D16">
              <w:rPr>
                <w:rFonts w:ascii="Times New Roman" w:hAnsi="Times New Roman"/>
                <w:sz w:val="20"/>
                <w:lang w:eastAsia="zh-CN"/>
              </w:rPr>
              <w:t>15</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15</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lang w:eastAsia="zh-CN"/>
              </w:rPr>
            </w:pPr>
            <w:r w:rsidRPr="002F319B">
              <w:rPr>
                <w:rFonts w:ascii="Times New Roman" w:hAnsi="Times New Roman"/>
                <w:sz w:val="20"/>
                <w:lang w:eastAsia="zh-CN"/>
              </w:rPr>
              <w:t>[12]</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0.390</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0" w:type="auto"/>
            <w:vMerge/>
            <w:tcBorders>
              <w:top w:val="nil"/>
              <w:left w:val="nil"/>
              <w:bottom w:val="single" w:sz="8" w:space="0" w:color="auto"/>
              <w:right w:val="single" w:sz="8" w:space="0" w:color="auto"/>
            </w:tcBorders>
            <w:vAlign w:val="center"/>
            <w:hideMark/>
          </w:tcPr>
          <w:p w:rsidR="00E41DB4" w:rsidRPr="009D6D16" w:rsidRDefault="00E41DB4" w:rsidP="00943D04">
            <w:pPr>
              <w:spacing w:before="60" w:after="60"/>
              <w:rPr>
                <w:rFonts w:eastAsia="Times New Roman"/>
              </w:rPr>
            </w:pP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30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rPr>
            </w:pPr>
            <w:r w:rsidRPr="002F319B">
              <w:rPr>
                <w:rFonts w:ascii="Times New Roman" w:hAnsi="Times New Roman"/>
                <w:sz w:val="20"/>
                <w:lang w:eastAsia="zh-CN"/>
              </w:rPr>
              <w:t>[10]</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0.325</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0" w:type="auto"/>
            <w:vMerge/>
            <w:tcBorders>
              <w:top w:val="nil"/>
              <w:left w:val="nil"/>
              <w:bottom w:val="single" w:sz="8" w:space="0" w:color="auto"/>
              <w:right w:val="single" w:sz="8" w:space="0" w:color="auto"/>
            </w:tcBorders>
            <w:vAlign w:val="center"/>
            <w:hideMark/>
          </w:tcPr>
          <w:p w:rsidR="00E41DB4" w:rsidRPr="009D6D16" w:rsidRDefault="00E41DB4" w:rsidP="00943D04">
            <w:pPr>
              <w:spacing w:before="60" w:after="60"/>
              <w:rPr>
                <w:rFonts w:eastAsia="Times New Roman"/>
              </w:rPr>
            </w:pP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60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rPr>
            </w:pPr>
            <w:r w:rsidRPr="002F319B">
              <w:rPr>
                <w:rFonts w:ascii="Times New Roman" w:hAnsi="Times New Roman"/>
                <w:sz w:val="20"/>
                <w:lang w:eastAsia="zh-CN"/>
              </w:rPr>
              <w:t>[10]</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0.325</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96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30</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15</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rPr>
            </w:pPr>
            <w:r w:rsidRPr="002F319B">
              <w:rPr>
                <w:rFonts w:ascii="Times New Roman" w:hAnsi="Times New Roman"/>
                <w:sz w:val="20"/>
                <w:lang w:eastAsia="zh-CN"/>
              </w:rPr>
              <w:t>[8]</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0.260</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0" w:type="auto"/>
            <w:vMerge/>
            <w:tcBorders>
              <w:top w:val="nil"/>
              <w:left w:val="nil"/>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30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rPr>
            </w:pPr>
            <w:r w:rsidRPr="002F319B">
              <w:rPr>
                <w:rFonts w:ascii="Times New Roman" w:hAnsi="Times New Roman"/>
                <w:sz w:val="20"/>
                <w:lang w:eastAsia="zh-CN"/>
              </w:rPr>
              <w:t>[8]</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0.260</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0" w:type="auto"/>
            <w:vMerge/>
            <w:tcBorders>
              <w:top w:val="nil"/>
              <w:left w:val="nil"/>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60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rPr>
            </w:pPr>
            <w:r w:rsidRPr="002F319B">
              <w:rPr>
                <w:rFonts w:ascii="Times New Roman" w:hAnsi="Times New Roman"/>
                <w:sz w:val="20"/>
                <w:lang w:eastAsia="zh-CN"/>
              </w:rPr>
              <w:t>[7]</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0.228</w:t>
            </w:r>
          </w:p>
        </w:tc>
      </w:tr>
      <w:tr w:rsidR="00E41DB4" w:rsidRPr="009D6D16" w:rsidTr="00D6028B">
        <w:trPr>
          <w:cantSplit/>
          <w:trHeight w:val="197"/>
          <w:jc w:val="center"/>
        </w:trPr>
        <w:tc>
          <w:tcPr>
            <w:tcW w:w="79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lastRenderedPageBreak/>
              <w:t>2</w:t>
            </w:r>
          </w:p>
        </w:tc>
        <w:tc>
          <w:tcPr>
            <w:tcW w:w="96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120</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rPr>
            </w:pPr>
            <w:r w:rsidRPr="009D6D16">
              <w:rPr>
                <w:rFonts w:ascii="Times New Roman" w:hAnsi="Times New Roman"/>
                <w:sz w:val="20"/>
                <w:lang w:eastAsia="zh-CN"/>
              </w:rPr>
              <w:t>60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2F319B" w:rsidRDefault="00E41DB4" w:rsidP="00943D04">
            <w:pPr>
              <w:pStyle w:val="TAC"/>
              <w:spacing w:before="60" w:after="60"/>
              <w:rPr>
                <w:rFonts w:ascii="Times New Roman" w:hAnsi="Times New Roman"/>
                <w:sz w:val="20"/>
              </w:rPr>
            </w:pPr>
            <w:r w:rsidRPr="002F319B">
              <w:rPr>
                <w:rFonts w:ascii="Times New Roman" w:hAnsi="Times New Roman"/>
                <w:sz w:val="20"/>
                <w:lang w:eastAsia="zh-CN"/>
              </w:rPr>
              <w:t>[3.5]</w:t>
            </w:r>
            <w:r w:rsidRPr="002F319B">
              <w:rPr>
                <w:rFonts w:ascii="Times New Roman" w:hAnsi="Times New Roman"/>
                <w:sz w:val="20"/>
              </w:rPr>
              <w:t>*</w:t>
            </w:r>
            <w:r w:rsidRPr="002F319B">
              <w:rPr>
                <w:rFonts w:ascii="Times New Roman" w:hAnsi="Times New Roman"/>
                <w:sz w:val="20"/>
                <w:lang w:eastAsia="zh-CN"/>
              </w:rPr>
              <w:t>64</w:t>
            </w:r>
            <w:r w:rsidRPr="002F319B">
              <w:rPr>
                <w:rFonts w:ascii="Times New Roman" w:hAnsi="Times New Roman"/>
                <w:sz w:val="20"/>
              </w:rPr>
              <w:t>*T</w:t>
            </w:r>
            <w:r w:rsidRPr="002F319B">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0.113</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0" w:type="auto"/>
            <w:vMerge/>
            <w:tcBorders>
              <w:top w:val="nil"/>
              <w:left w:val="nil"/>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120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[3.5]</w:t>
            </w:r>
            <w:r w:rsidRPr="009D6D16">
              <w:rPr>
                <w:rFonts w:ascii="Times New Roman" w:hAnsi="Times New Roman"/>
                <w:sz w:val="20"/>
              </w:rPr>
              <w:t>*</w:t>
            </w:r>
            <w:r w:rsidRPr="009D6D16">
              <w:rPr>
                <w:rFonts w:ascii="Times New Roman" w:hAnsi="Times New Roman"/>
                <w:sz w:val="20"/>
                <w:lang w:eastAsia="zh-CN"/>
              </w:rPr>
              <w:t>64</w:t>
            </w:r>
            <w:r w:rsidRPr="009D6D16">
              <w:rPr>
                <w:rFonts w:ascii="Times New Roman" w:hAnsi="Times New Roman"/>
                <w:sz w:val="20"/>
              </w:rPr>
              <w:t>*T</w:t>
            </w:r>
            <w:r w:rsidRPr="009D6D16">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0.113</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96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240</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rPr>
            </w:pPr>
            <w:r w:rsidRPr="009D6D16">
              <w:rPr>
                <w:rFonts w:ascii="Times New Roman" w:hAnsi="Times New Roman"/>
                <w:sz w:val="20"/>
                <w:lang w:eastAsia="zh-CN"/>
              </w:rPr>
              <w:t>60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rPr>
            </w:pPr>
            <w:r w:rsidRPr="009D6D16">
              <w:rPr>
                <w:rFonts w:ascii="Times New Roman" w:hAnsi="Times New Roman"/>
                <w:sz w:val="20"/>
                <w:lang w:eastAsia="zh-CN"/>
              </w:rPr>
              <w:t>[3]</w:t>
            </w:r>
            <w:r w:rsidRPr="009D6D16">
              <w:rPr>
                <w:rFonts w:ascii="Times New Roman" w:hAnsi="Times New Roman"/>
                <w:sz w:val="20"/>
              </w:rPr>
              <w:t>*</w:t>
            </w:r>
            <w:r w:rsidRPr="009D6D16">
              <w:rPr>
                <w:rFonts w:ascii="Times New Roman" w:hAnsi="Times New Roman"/>
                <w:sz w:val="20"/>
                <w:lang w:eastAsia="zh-CN"/>
              </w:rPr>
              <w:t>64</w:t>
            </w:r>
            <w:r w:rsidRPr="009D6D16">
              <w:rPr>
                <w:rFonts w:ascii="Times New Roman" w:hAnsi="Times New Roman"/>
                <w:sz w:val="20"/>
              </w:rPr>
              <w:t>*T</w:t>
            </w:r>
            <w:r w:rsidRPr="009D6D16">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0.098</w:t>
            </w:r>
          </w:p>
        </w:tc>
      </w:tr>
      <w:tr w:rsidR="00E41DB4" w:rsidRPr="009D6D16" w:rsidTr="00D6028B">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0" w:type="auto"/>
            <w:vMerge/>
            <w:tcBorders>
              <w:top w:val="nil"/>
              <w:left w:val="nil"/>
              <w:bottom w:val="single" w:sz="8" w:space="0" w:color="auto"/>
              <w:right w:val="single" w:sz="8" w:space="0" w:color="auto"/>
            </w:tcBorders>
            <w:vAlign w:val="center"/>
            <w:hideMark/>
          </w:tcPr>
          <w:p w:rsidR="00E41DB4" w:rsidRPr="009D6D16" w:rsidRDefault="00E41DB4" w:rsidP="00943D04">
            <w:pPr>
              <w:spacing w:before="60" w:after="60"/>
              <w:rPr>
                <w:rFonts w:eastAsia="Times New Roman"/>
                <w:lang w:eastAsia="zh-CN"/>
              </w:rPr>
            </w:pP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120</w:t>
            </w:r>
          </w:p>
        </w:tc>
        <w:tc>
          <w:tcPr>
            <w:tcW w:w="1352" w:type="pct"/>
            <w:tcBorders>
              <w:top w:val="nil"/>
              <w:left w:val="nil"/>
              <w:bottom w:val="single" w:sz="8" w:space="0" w:color="auto"/>
              <w:right w:val="single" w:sz="8" w:space="0" w:color="auto"/>
            </w:tcBorders>
            <w:tcMar>
              <w:top w:w="0" w:type="dxa"/>
              <w:left w:w="108" w:type="dxa"/>
              <w:bottom w:w="0" w:type="dxa"/>
              <w:right w:w="108" w:type="dxa"/>
            </w:tcMar>
            <w:hideMark/>
          </w:tcPr>
          <w:p w:rsidR="00E41DB4" w:rsidRPr="009D6D16" w:rsidRDefault="00E41DB4" w:rsidP="00943D04">
            <w:pPr>
              <w:pStyle w:val="TAC"/>
              <w:spacing w:before="60" w:after="60"/>
              <w:rPr>
                <w:rFonts w:ascii="Times New Roman" w:hAnsi="Times New Roman"/>
                <w:sz w:val="20"/>
              </w:rPr>
            </w:pPr>
            <w:r w:rsidRPr="009D6D16">
              <w:rPr>
                <w:rFonts w:ascii="Times New Roman" w:hAnsi="Times New Roman"/>
                <w:sz w:val="20"/>
                <w:lang w:eastAsia="zh-CN"/>
              </w:rPr>
              <w:t>[3]</w:t>
            </w:r>
            <w:r w:rsidRPr="009D6D16">
              <w:rPr>
                <w:rFonts w:ascii="Times New Roman" w:hAnsi="Times New Roman"/>
                <w:sz w:val="20"/>
              </w:rPr>
              <w:t>*</w:t>
            </w:r>
            <w:r w:rsidRPr="009D6D16">
              <w:rPr>
                <w:rFonts w:ascii="Times New Roman" w:hAnsi="Times New Roman"/>
                <w:sz w:val="20"/>
                <w:lang w:eastAsia="zh-CN"/>
              </w:rPr>
              <w:t>64</w:t>
            </w:r>
            <w:r w:rsidRPr="009D6D16">
              <w:rPr>
                <w:rFonts w:ascii="Times New Roman" w:hAnsi="Times New Roman"/>
                <w:sz w:val="20"/>
              </w:rPr>
              <w:t>*T</w:t>
            </w:r>
            <w:r w:rsidRPr="009D6D16">
              <w:rPr>
                <w:rFonts w:ascii="Times New Roman" w:hAnsi="Times New Roman"/>
                <w:sz w:val="20"/>
                <w:vertAlign w:val="subscript"/>
              </w:rPr>
              <w:t>c</w:t>
            </w:r>
          </w:p>
        </w:tc>
        <w:tc>
          <w:tcPr>
            <w:tcW w:w="929" w:type="pct"/>
            <w:tcBorders>
              <w:top w:val="nil"/>
              <w:left w:val="nil"/>
              <w:bottom w:val="single" w:sz="8" w:space="0" w:color="auto"/>
              <w:right w:val="single" w:sz="8" w:space="0" w:color="auto"/>
            </w:tcBorders>
          </w:tcPr>
          <w:p w:rsidR="00E41DB4" w:rsidRPr="009D6D16" w:rsidRDefault="00E41DB4" w:rsidP="00943D04">
            <w:pPr>
              <w:pStyle w:val="TAC"/>
              <w:spacing w:before="60" w:after="60"/>
              <w:rPr>
                <w:rFonts w:ascii="Times New Roman" w:hAnsi="Times New Roman"/>
                <w:sz w:val="20"/>
                <w:lang w:eastAsia="zh-CN"/>
              </w:rPr>
            </w:pPr>
            <w:r w:rsidRPr="009D6D16">
              <w:rPr>
                <w:rFonts w:ascii="Times New Roman" w:hAnsi="Times New Roman"/>
                <w:sz w:val="20"/>
                <w:lang w:eastAsia="zh-CN"/>
              </w:rPr>
              <w:t>0.098</w:t>
            </w:r>
          </w:p>
        </w:tc>
      </w:tr>
      <w:tr w:rsidR="00943D04" w:rsidRPr="009D6D16" w:rsidTr="00943D04">
        <w:trPr>
          <w:cantSplit/>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43D04" w:rsidRPr="009D6D16" w:rsidRDefault="00943D04" w:rsidP="00D6028B">
            <w:pPr>
              <w:pStyle w:val="TAN"/>
              <w:rPr>
                <w:rFonts w:ascii="Times New Roman" w:hAnsi="Times New Roman"/>
                <w:sz w:val="20"/>
                <w:lang w:eastAsia="zh-CN"/>
              </w:rPr>
            </w:pPr>
            <w:r w:rsidRPr="009D6D16">
              <w:rPr>
                <w:rFonts w:ascii="Times New Roman" w:hAnsi="Times New Roman"/>
                <w:sz w:val="20"/>
                <w:lang w:eastAsia="ko-KR"/>
              </w:rPr>
              <w:t>NOTE</w:t>
            </w:r>
            <w:r w:rsidRPr="009D6D16">
              <w:rPr>
                <w:rFonts w:ascii="Times New Roman" w:hAnsi="Times New Roman"/>
                <w:sz w:val="20"/>
                <w:lang w:eastAsia="zh-CN"/>
              </w:rPr>
              <w:t xml:space="preserve"> 1</w:t>
            </w:r>
            <w:r>
              <w:rPr>
                <w:rFonts w:ascii="Times New Roman" w:hAnsi="Times New Roman"/>
                <w:sz w:val="20"/>
              </w:rPr>
              <w:t>:</w:t>
            </w:r>
            <w:r w:rsidRPr="009D6D16">
              <w:rPr>
                <w:rFonts w:ascii="Times New Roman" w:hAnsi="Times New Roman"/>
                <w:sz w:val="20"/>
              </w:rPr>
              <w:t xml:space="preserve"> T</w:t>
            </w:r>
            <w:r w:rsidRPr="009D6D16">
              <w:rPr>
                <w:rFonts w:ascii="Times New Roman" w:hAnsi="Times New Roman"/>
                <w:sz w:val="20"/>
                <w:vertAlign w:val="subscript"/>
              </w:rPr>
              <w:t>c</w:t>
            </w:r>
            <w:r w:rsidRPr="009D6D16">
              <w:rPr>
                <w:rFonts w:ascii="Times New Roman" w:hAnsi="Times New Roman"/>
                <w:sz w:val="20"/>
              </w:rPr>
              <w:t xml:space="preserve"> is the basic timing unit defined in TS 38.211</w:t>
            </w:r>
          </w:p>
          <w:p w:rsidR="00943D04" w:rsidRPr="009D6D16" w:rsidRDefault="00943D04" w:rsidP="00D6028B">
            <w:pPr>
              <w:pStyle w:val="TAN"/>
              <w:rPr>
                <w:rFonts w:ascii="Times New Roman" w:hAnsi="Times New Roman"/>
                <w:sz w:val="20"/>
                <w:lang w:eastAsia="ko-KR"/>
              </w:rPr>
            </w:pPr>
            <w:r w:rsidRPr="009D6D16">
              <w:rPr>
                <w:rFonts w:ascii="Times New Roman" w:hAnsi="Times New Roman"/>
                <w:i/>
                <w:iCs/>
                <w:sz w:val="20"/>
                <w:lang w:eastAsia="zh-CN"/>
              </w:rPr>
              <w:t xml:space="preserve">Editor’s note: The final values of </w:t>
            </w:r>
            <w:proofErr w:type="spellStart"/>
            <w:r w:rsidRPr="009D6D16">
              <w:rPr>
                <w:rFonts w:ascii="Times New Roman" w:hAnsi="Times New Roman"/>
                <w:i/>
                <w:iCs/>
                <w:sz w:val="20"/>
                <w:lang w:eastAsia="zh-CN"/>
              </w:rPr>
              <w:t>T</w:t>
            </w:r>
            <w:r w:rsidRPr="009D6D16">
              <w:rPr>
                <w:rFonts w:ascii="Times New Roman" w:hAnsi="Times New Roman"/>
                <w:i/>
                <w:iCs/>
                <w:sz w:val="20"/>
                <w:vertAlign w:val="subscript"/>
                <w:lang w:eastAsia="zh-CN"/>
              </w:rPr>
              <w:t>e</w:t>
            </w:r>
            <w:proofErr w:type="spellEnd"/>
            <w:r w:rsidRPr="009D6D16">
              <w:rPr>
                <w:rFonts w:ascii="Times New Roman" w:hAnsi="Times New Roman"/>
                <w:i/>
                <w:iCs/>
                <w:sz w:val="20"/>
                <w:lang w:eastAsia="zh-CN"/>
              </w:rPr>
              <w:t xml:space="preserve"> for 120KHz SSB SCS are su</w:t>
            </w:r>
            <w:r>
              <w:rPr>
                <w:rFonts w:ascii="Times New Roman" w:hAnsi="Times New Roman"/>
                <w:i/>
                <w:iCs/>
                <w:sz w:val="20"/>
                <w:lang w:eastAsia="zh-CN"/>
              </w:rPr>
              <w:t xml:space="preserve">bject to further discussions in </w:t>
            </w:r>
            <w:r w:rsidRPr="009D6D16">
              <w:rPr>
                <w:rFonts w:ascii="Times New Roman" w:hAnsi="Times New Roman"/>
                <w:i/>
                <w:iCs/>
                <w:sz w:val="20"/>
                <w:lang w:eastAsia="zh-CN"/>
              </w:rPr>
              <w:t>further meeting, and may not be outside 3</w:t>
            </w:r>
            <w:r w:rsidRPr="009D6D16">
              <w:rPr>
                <w:rFonts w:ascii="Times New Roman" w:hAnsi="Times New Roman"/>
                <w:i/>
                <w:iCs/>
                <w:sz w:val="20"/>
              </w:rPr>
              <w:t>*</w:t>
            </w:r>
            <w:r w:rsidRPr="009D6D16">
              <w:rPr>
                <w:rFonts w:ascii="Times New Roman" w:hAnsi="Times New Roman"/>
                <w:i/>
                <w:iCs/>
                <w:sz w:val="20"/>
                <w:lang w:eastAsia="zh-CN"/>
              </w:rPr>
              <w:t>64</w:t>
            </w:r>
            <w:r w:rsidRPr="009D6D16">
              <w:rPr>
                <w:rFonts w:ascii="Times New Roman" w:hAnsi="Times New Roman"/>
                <w:i/>
                <w:iCs/>
                <w:sz w:val="20"/>
              </w:rPr>
              <w:t>*T</w:t>
            </w:r>
            <w:r w:rsidRPr="009D6D16">
              <w:rPr>
                <w:rFonts w:ascii="Times New Roman" w:hAnsi="Times New Roman"/>
                <w:i/>
                <w:iCs/>
                <w:sz w:val="20"/>
                <w:vertAlign w:val="subscript"/>
              </w:rPr>
              <w:t>c</w:t>
            </w:r>
            <w:r w:rsidRPr="009D6D16">
              <w:rPr>
                <w:rFonts w:ascii="Times New Roman" w:hAnsi="Times New Roman"/>
                <w:i/>
                <w:iCs/>
                <w:sz w:val="20"/>
                <w:lang w:eastAsia="zh-CN"/>
              </w:rPr>
              <w:t xml:space="preserve"> to 3.5</w:t>
            </w:r>
            <w:r w:rsidRPr="009D6D16">
              <w:rPr>
                <w:rFonts w:ascii="Times New Roman" w:hAnsi="Times New Roman"/>
                <w:i/>
                <w:iCs/>
                <w:sz w:val="20"/>
              </w:rPr>
              <w:t>*</w:t>
            </w:r>
            <w:r w:rsidRPr="009D6D16">
              <w:rPr>
                <w:rFonts w:ascii="Times New Roman" w:hAnsi="Times New Roman"/>
                <w:i/>
                <w:iCs/>
                <w:sz w:val="20"/>
                <w:lang w:eastAsia="zh-CN"/>
              </w:rPr>
              <w:t>64</w:t>
            </w:r>
            <w:r w:rsidRPr="009D6D16">
              <w:rPr>
                <w:rFonts w:ascii="Times New Roman" w:hAnsi="Times New Roman"/>
                <w:i/>
                <w:iCs/>
                <w:sz w:val="20"/>
              </w:rPr>
              <w:t>*T</w:t>
            </w:r>
            <w:r w:rsidRPr="009D6D16">
              <w:rPr>
                <w:rFonts w:ascii="Times New Roman" w:hAnsi="Times New Roman"/>
                <w:i/>
                <w:iCs/>
                <w:sz w:val="20"/>
                <w:vertAlign w:val="subscript"/>
              </w:rPr>
              <w:t>c</w:t>
            </w:r>
            <w:r w:rsidRPr="009D6D16">
              <w:rPr>
                <w:rFonts w:ascii="Times New Roman" w:hAnsi="Times New Roman"/>
                <w:i/>
                <w:iCs/>
                <w:sz w:val="20"/>
                <w:lang w:eastAsia="zh-CN"/>
              </w:rPr>
              <w:t>.</w:t>
            </w:r>
          </w:p>
        </w:tc>
      </w:tr>
    </w:tbl>
    <w:p w:rsidR="00421A33" w:rsidRPr="002F319B" w:rsidRDefault="00421A33" w:rsidP="00943D04">
      <w:pPr>
        <w:jc w:val="both"/>
        <w:rPr>
          <w:lang w:eastAsia="ja-JP" w:bidi="hi-IN"/>
        </w:rPr>
      </w:pPr>
    </w:p>
    <w:p w:rsidR="00F9559B" w:rsidRPr="00844D93" w:rsidRDefault="00E41DB4" w:rsidP="00943D04">
      <w:pPr>
        <w:jc w:val="both"/>
        <w:rPr>
          <w:lang w:eastAsia="ja-JP" w:bidi="hi-IN"/>
        </w:rPr>
      </w:pPr>
      <w:r w:rsidRPr="002F319B">
        <w:rPr>
          <w:lang w:eastAsia="ja-JP" w:bidi="hi-IN"/>
        </w:rPr>
        <w:t xml:space="preserve">For GNSS based synchronization, </w:t>
      </w:r>
      <w:r w:rsidR="00F9559B" w:rsidRPr="002F319B">
        <w:rPr>
          <w:lang w:eastAsia="ja-JP" w:bidi="hi-IN"/>
        </w:rPr>
        <w:t>the values assumed for the LTE analysis could be reused for FR1</w:t>
      </w:r>
      <w:r w:rsidR="00E627BC" w:rsidRPr="002F319B">
        <w:rPr>
          <w:lang w:eastAsia="ja-JP" w:bidi="hi-IN"/>
        </w:rPr>
        <w:t xml:space="preserve"> and FR2</w:t>
      </w:r>
      <w:r w:rsidR="002F319B" w:rsidRPr="002F319B">
        <w:rPr>
          <w:lang w:eastAsia="ja-JP" w:bidi="hi-IN"/>
        </w:rPr>
        <w:t xml:space="preserve"> (i.e. </w:t>
      </w:r>
      <w:r w:rsidR="002F319B" w:rsidRPr="002F319B">
        <w:rPr>
          <w:lang w:eastAsia="zh-CN"/>
        </w:rPr>
        <w:t>[12]</w:t>
      </w:r>
      <w:r w:rsidR="002F319B" w:rsidRPr="002F319B">
        <w:t>*</w:t>
      </w:r>
      <w:r w:rsidR="002F319B" w:rsidRPr="002F319B">
        <w:rPr>
          <w:lang w:eastAsia="zh-CN"/>
        </w:rPr>
        <w:t>64</w:t>
      </w:r>
      <w:r w:rsidR="002F319B" w:rsidRPr="002F319B">
        <w:t>*T</w:t>
      </w:r>
      <w:r w:rsidR="002F319B" w:rsidRPr="002F319B">
        <w:rPr>
          <w:vertAlign w:val="subscript"/>
        </w:rPr>
        <w:t>c</w:t>
      </w:r>
      <w:r w:rsidR="002F319B" w:rsidRPr="002F319B">
        <w:t>).</w:t>
      </w:r>
    </w:p>
    <w:p w:rsidR="00E41DB4" w:rsidRPr="00844D93" w:rsidRDefault="00E41DB4" w:rsidP="00943D04">
      <w:pPr>
        <w:jc w:val="both"/>
        <w:rPr>
          <w:lang w:eastAsia="ja-JP" w:bidi="hi-IN"/>
        </w:rPr>
      </w:pPr>
      <w:r w:rsidRPr="00844D93">
        <w:rPr>
          <w:lang w:eastAsia="ja-JP" w:bidi="hi-IN"/>
        </w:rPr>
        <w:t>For Sync Ref UE synchronization, it is FFS for RAN4 if such a case is supported in NR V2X</w:t>
      </w:r>
      <w:r w:rsidR="00F9559B" w:rsidRPr="00844D93">
        <w:rPr>
          <w:lang w:eastAsia="ja-JP" w:bidi="hi-IN"/>
        </w:rPr>
        <w:t xml:space="preserve"> and if so, what is the expected synchronization reference signals design</w:t>
      </w:r>
      <w:r w:rsidRPr="00844D93">
        <w:rPr>
          <w:lang w:eastAsia="ja-JP" w:bidi="hi-IN"/>
        </w:rPr>
        <w:t xml:space="preserve">. Thus, we propose that it is FFS on timing error requirement when </w:t>
      </w:r>
      <w:proofErr w:type="spellStart"/>
      <w:r w:rsidRPr="00844D93">
        <w:rPr>
          <w:lang w:eastAsia="ja-JP" w:bidi="hi-IN"/>
        </w:rPr>
        <w:t>SyncRef</w:t>
      </w:r>
      <w:proofErr w:type="spellEnd"/>
      <w:r w:rsidRPr="00844D93">
        <w:rPr>
          <w:lang w:eastAsia="ja-JP" w:bidi="hi-IN"/>
        </w:rPr>
        <w:t xml:space="preserve"> UE serves as synchronization reference source.</w:t>
      </w:r>
    </w:p>
    <w:p w:rsidR="00E41DB4" w:rsidRPr="00844D93" w:rsidRDefault="00E41DB4" w:rsidP="00E41DB4">
      <w:pPr>
        <w:ind w:left="1276" w:hanging="1276"/>
        <w:jc w:val="both"/>
        <w:rPr>
          <w:b/>
        </w:rPr>
      </w:pPr>
      <w:r w:rsidRPr="00844D93">
        <w:rPr>
          <w:b/>
        </w:rPr>
        <w:t>Proposal #</w:t>
      </w:r>
      <w:r w:rsidR="002F319B">
        <w:rPr>
          <w:b/>
        </w:rPr>
        <w:t>2</w:t>
      </w:r>
      <w:r w:rsidRPr="00844D93">
        <w:rPr>
          <w:b/>
        </w:rPr>
        <w:t>:</w:t>
      </w:r>
      <w:r w:rsidRPr="00844D93">
        <w:rPr>
          <w:b/>
        </w:rPr>
        <w:tab/>
        <w:t xml:space="preserve">In NR V2X, the timing error between a UE and its synchronization reference is defined as </w:t>
      </w:r>
    </w:p>
    <w:p w:rsidR="00E41DB4" w:rsidRPr="00844D93" w:rsidRDefault="002F319B" w:rsidP="00023DD2">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gNB synchronization reference: Reuse UL timing accuracy defined in TR 38.133 </w:t>
      </w:r>
    </w:p>
    <w:p w:rsidR="00F9559B" w:rsidRPr="00844D93" w:rsidRDefault="002F319B" w:rsidP="00023DD2">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GNSS synchronization reference: </w:t>
      </w:r>
      <w:r w:rsidR="00F9559B" w:rsidRPr="00844D93">
        <w:rPr>
          <w:rFonts w:ascii="Times New Roman" w:eastAsia="SimSun" w:hAnsi="Times New Roman"/>
          <w:b/>
          <w:sz w:val="20"/>
          <w:szCs w:val="20"/>
          <w:lang w:val="en-GB"/>
        </w:rPr>
        <w:t>12*64*Tc</w:t>
      </w:r>
    </w:p>
    <w:p w:rsidR="00CD2B04" w:rsidRPr="009C2D12" w:rsidRDefault="00CD2B04" w:rsidP="009C2D12">
      <w:pPr>
        <w:pStyle w:val="Heading1"/>
      </w:pPr>
      <w:r w:rsidRPr="009C2D12">
        <w:t>Conclusions</w:t>
      </w:r>
    </w:p>
    <w:p w:rsidR="00E41DB4" w:rsidRPr="00A204ED" w:rsidRDefault="00E41DB4" w:rsidP="00E41DB4">
      <w:r w:rsidRPr="00A204ED">
        <w:t>In this contribution we provided the views on the feasible UE RF/RRM characteristics for NR V2X and recommend to provide the respective information to RAN1. In summary we make the following proposals:</w:t>
      </w:r>
    </w:p>
    <w:p w:rsidR="00A204ED" w:rsidRDefault="00A204ED" w:rsidP="00A204ED">
      <w:pPr>
        <w:ind w:left="1276" w:hanging="1276"/>
        <w:jc w:val="both"/>
        <w:rPr>
          <w:b/>
        </w:rPr>
      </w:pPr>
      <w:r w:rsidRPr="00A204ED">
        <w:rPr>
          <w:b/>
        </w:rPr>
        <w:t>Proposal #1:</w:t>
      </w:r>
      <w:r w:rsidRPr="00A204ED">
        <w:rPr>
          <w:b/>
        </w:rPr>
        <w:tab/>
        <w:t>Use the FR1 IBE model defined in Table 1 for NR V2X studies</w:t>
      </w:r>
    </w:p>
    <w:p w:rsidR="00A204ED" w:rsidRDefault="00A204ED" w:rsidP="00A204E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Proposed IBE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A204ED" w:rsidRPr="00611CC4" w:rsidTr="002F319B">
        <w:trPr>
          <w:jc w:val="center"/>
        </w:trPr>
        <w:tc>
          <w:tcPr>
            <w:tcW w:w="666" w:type="pct"/>
            <w:tcBorders>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Limit (NOTE 1)</w:t>
            </w:r>
          </w:p>
        </w:tc>
        <w:tc>
          <w:tcPr>
            <w:tcW w:w="880" w:type="pct"/>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Applicable Frequencies</w:t>
            </w:r>
          </w:p>
        </w:tc>
      </w:tr>
      <w:tr w:rsidR="00A204ED" w:rsidRPr="00611CC4" w:rsidTr="002F319B">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lang w:eastAsia="ko-KR"/>
              </w:rPr>
            </w:pPr>
            <w:r w:rsidRPr="009E56BF">
              <w:rPr>
                <w:rFonts w:cs="Arial"/>
                <w:position w:val="-58"/>
                <w:highlight w:val="yellow"/>
              </w:rPr>
              <w:object w:dxaOrig="4420" w:dyaOrig="1240">
                <v:shape id="_x0000_i1028" type="#_x0000_t75" style="width:199pt;height:50pt" o:ole="">
                  <v:imagedata r:id="rId17" o:title=""/>
                </v:shape>
                <o:OLEObject Type="Embed" ProgID="Equation.DSMT4" ShapeID="_x0000_i1028" DrawAspect="Content" ObjectID="_1602697090" r:id="rId20"/>
              </w:object>
            </w:r>
          </w:p>
        </w:tc>
        <w:tc>
          <w:tcPr>
            <w:tcW w:w="880" w:type="pct"/>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Any non-allocated (NOTE 2)</w:t>
            </w:r>
          </w:p>
        </w:tc>
      </w:tr>
      <w:tr w:rsidR="00A204ED" w:rsidRPr="00611CC4" w:rsidTr="002F319B">
        <w:trPr>
          <w:trHeight w:val="20"/>
          <w:jc w:val="center"/>
        </w:trPr>
        <w:tc>
          <w:tcPr>
            <w:tcW w:w="666" w:type="pct"/>
            <w:vMerge w:val="restart"/>
            <w:tcBorders>
              <w:top w:val="single" w:sz="4" w:space="0" w:color="auto"/>
              <w:right w:val="single" w:sz="4" w:space="0" w:color="auto"/>
            </w:tcBorders>
            <w:shd w:val="clear" w:color="auto" w:fill="auto"/>
            <w:vAlign w:val="center"/>
          </w:tcPr>
          <w:p w:rsidR="00A204ED" w:rsidRPr="00A52C94" w:rsidRDefault="00A204ED" w:rsidP="00751A09">
            <w:pPr>
              <w:pStyle w:val="TAH"/>
              <w:keepNext w:val="0"/>
              <w:keepLines w:val="0"/>
              <w:spacing w:before="0"/>
              <w:rPr>
                <w:rFonts w:cs="Arial"/>
                <w:strike/>
              </w:rPr>
            </w:pPr>
            <w:r w:rsidRPr="00A52C94">
              <w:rPr>
                <w:rFonts w:cs="Arial"/>
                <w:strike/>
              </w:rPr>
              <w:t>IQ Image</w:t>
            </w:r>
          </w:p>
        </w:tc>
        <w:tc>
          <w:tcPr>
            <w:tcW w:w="609" w:type="pct"/>
            <w:vMerge w:val="restar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r w:rsidRPr="00A52C94">
              <w:rPr>
                <w:rFonts w:cs="Arial"/>
                <w:strike/>
              </w:rPr>
              <w:t>dB</w:t>
            </w:r>
          </w:p>
        </w:tc>
        <w:tc>
          <w:tcPr>
            <w:tcW w:w="668" w:type="pc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highlight w:val="yellow"/>
              </w:rPr>
            </w:pPr>
            <w:r w:rsidRPr="00A52C94">
              <w:rPr>
                <w:rFonts w:cs="Arial"/>
                <w:strike/>
                <w:highlight w:val="yellow"/>
              </w:rPr>
              <w:t>-28</w:t>
            </w:r>
            <w:r>
              <w:rPr>
                <w:rFonts w:cs="Arial"/>
                <w:strike/>
                <w:highlight w:val="yellow"/>
              </w:rPr>
              <w:t>- Y1</w:t>
            </w:r>
          </w:p>
        </w:tc>
        <w:tc>
          <w:tcPr>
            <w:tcW w:w="2177" w:type="pct"/>
            <w:tcBorders>
              <w:top w:val="single" w:sz="4" w:space="0" w:color="auto"/>
              <w:left w:val="single" w:sz="4" w:space="0" w:color="auto"/>
              <w:right w:val="single" w:sz="4" w:space="0" w:color="auto"/>
            </w:tcBorders>
            <w:vAlign w:val="center"/>
          </w:tcPr>
          <w:p w:rsidR="00A204ED" w:rsidRPr="00A52C94" w:rsidRDefault="00A204ED" w:rsidP="00751A09">
            <w:pPr>
              <w:pStyle w:val="TAL"/>
              <w:keepNext w:val="0"/>
              <w:keepLines w:val="0"/>
              <w:spacing w:before="0"/>
              <w:rPr>
                <w:rFonts w:cs="Arial"/>
                <w:strike/>
              </w:rPr>
            </w:pPr>
            <w:r w:rsidRPr="00A52C94">
              <w:rPr>
                <w:rFonts w:cs="Arial"/>
                <w:strike/>
              </w:rPr>
              <w:t>Image frequencies when output power &gt; 10 dBm</w:t>
            </w:r>
          </w:p>
        </w:tc>
        <w:tc>
          <w:tcPr>
            <w:tcW w:w="880" w:type="pct"/>
            <w:vMerge w:val="restar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r w:rsidRPr="00A52C94">
              <w:rPr>
                <w:rFonts w:cs="Arial"/>
                <w:strike/>
              </w:rPr>
              <w:t>Image frequencies (NOTES 2, 3)</w:t>
            </w:r>
          </w:p>
        </w:tc>
      </w:tr>
      <w:tr w:rsidR="00A204ED" w:rsidRPr="00611CC4" w:rsidTr="002F319B">
        <w:trPr>
          <w:trHeight w:val="20"/>
          <w:jc w:val="center"/>
        </w:trPr>
        <w:tc>
          <w:tcPr>
            <w:tcW w:w="666" w:type="pct"/>
            <w:vMerge/>
            <w:tcBorders>
              <w:right w:val="single" w:sz="4" w:space="0" w:color="auto"/>
            </w:tcBorders>
            <w:shd w:val="clear" w:color="auto" w:fill="auto"/>
            <w:vAlign w:val="center"/>
          </w:tcPr>
          <w:p w:rsidR="00A204ED" w:rsidRPr="00A52C94" w:rsidRDefault="00A204ED" w:rsidP="00751A09">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highlight w:val="yellow"/>
              </w:rPr>
            </w:pPr>
            <w:r w:rsidRPr="00A52C94">
              <w:rPr>
                <w:rFonts w:cs="Arial"/>
                <w:strike/>
                <w:highlight w:val="yellow"/>
              </w:rPr>
              <w:t>-28 – Y2</w:t>
            </w:r>
          </w:p>
        </w:tc>
        <w:tc>
          <w:tcPr>
            <w:tcW w:w="2177" w:type="pct"/>
            <w:tcBorders>
              <w:top w:val="single" w:sz="4" w:space="0" w:color="auto"/>
              <w:left w:val="single" w:sz="4" w:space="0" w:color="auto"/>
              <w:right w:val="single" w:sz="4" w:space="0" w:color="auto"/>
            </w:tcBorders>
            <w:vAlign w:val="center"/>
          </w:tcPr>
          <w:p w:rsidR="00A204ED" w:rsidRPr="00A52C94" w:rsidRDefault="00A204ED" w:rsidP="00751A09">
            <w:pPr>
              <w:pStyle w:val="TAL"/>
              <w:keepNext w:val="0"/>
              <w:keepLines w:val="0"/>
              <w:spacing w:before="0"/>
              <w:rPr>
                <w:rFonts w:cs="Arial"/>
                <w:strike/>
              </w:rPr>
            </w:pPr>
            <w:r w:rsidRPr="00A52C94">
              <w:rPr>
                <w:rFonts w:cs="Arial"/>
                <w:strike/>
              </w:rPr>
              <w:t>Image frequencies when output power ≤ 10 dBm</w:t>
            </w:r>
          </w:p>
        </w:tc>
        <w:tc>
          <w:tcPr>
            <w:tcW w:w="880" w:type="pct"/>
            <w:vMerge/>
            <w:tcBorders>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p>
        </w:tc>
      </w:tr>
      <w:tr w:rsidR="00A204ED" w:rsidRPr="00611CC4" w:rsidTr="002F319B">
        <w:trPr>
          <w:trHeight w:val="208"/>
          <w:jc w:val="center"/>
        </w:trPr>
        <w:tc>
          <w:tcPr>
            <w:tcW w:w="666" w:type="pct"/>
            <w:vMerge w:val="restart"/>
            <w:tcBorders>
              <w:top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roofErr w:type="spellStart"/>
            <w:r w:rsidRPr="00611CC4">
              <w:rPr>
                <w:rFonts w:cs="Arial"/>
              </w:rPr>
              <w:t>dBc</w:t>
            </w:r>
            <w:proofErr w:type="spellEnd"/>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 xml:space="preserve">-28 – Z1 </w:t>
            </w:r>
          </w:p>
        </w:tc>
        <w:tc>
          <w:tcPr>
            <w:tcW w:w="2177" w:type="pct"/>
            <w:tcBorders>
              <w:top w:val="single" w:sz="4" w:space="0" w:color="auto"/>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 xml:space="preserve">Output power &gt; 10 dBm </w:t>
            </w:r>
          </w:p>
        </w:tc>
        <w:tc>
          <w:tcPr>
            <w:tcW w:w="880" w:type="pct"/>
            <w:vMerge w:val="restart"/>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Carrier leakage frequency (NOTES 4, 5)</w:t>
            </w:r>
          </w:p>
        </w:tc>
      </w:tr>
      <w:tr w:rsidR="00A204ED" w:rsidRPr="00611CC4" w:rsidTr="002F319B">
        <w:trPr>
          <w:trHeight w:val="208"/>
          <w:jc w:val="center"/>
        </w:trPr>
        <w:tc>
          <w:tcPr>
            <w:tcW w:w="666" w:type="pct"/>
            <w:vMerge/>
            <w:tcBorders>
              <w:top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-25 – Z2</w:t>
            </w:r>
          </w:p>
        </w:tc>
        <w:tc>
          <w:tcPr>
            <w:tcW w:w="2177" w:type="pct"/>
            <w:tcBorders>
              <w:top w:val="single" w:sz="4" w:space="0" w:color="auto"/>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0 dBm ≤ Output power ≤10 dBm</w:t>
            </w:r>
          </w:p>
        </w:tc>
        <w:tc>
          <w:tcPr>
            <w:tcW w:w="880" w:type="pct"/>
            <w:vMerge/>
            <w:tcBorders>
              <w:top w:val="single" w:sz="4" w:space="0" w:color="auto"/>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2F319B">
        <w:trPr>
          <w:trHeight w:val="206"/>
          <w:jc w:val="center"/>
        </w:trPr>
        <w:tc>
          <w:tcPr>
            <w:tcW w:w="666" w:type="pct"/>
            <w:vMerge/>
            <w:tcBorders>
              <w:right w:val="single" w:sz="4" w:space="0" w:color="auto"/>
            </w:tcBorders>
            <w:shd w:val="clear" w:color="auto" w:fill="auto"/>
            <w:vAlign w:val="center"/>
          </w:tcPr>
          <w:p w:rsidR="00A204ED" w:rsidRPr="00611CC4" w:rsidRDefault="00A204ED" w:rsidP="00751A09">
            <w:pPr>
              <w:spacing w:before="0" w:after="0"/>
              <w:rPr>
                <w:b/>
              </w:rPr>
            </w:pPr>
          </w:p>
        </w:tc>
        <w:tc>
          <w:tcPr>
            <w:tcW w:w="609" w:type="pct"/>
            <w:vMerge/>
            <w:tcBorders>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-20 – Z3</w:t>
            </w:r>
          </w:p>
        </w:tc>
        <w:tc>
          <w:tcPr>
            <w:tcW w:w="2177" w:type="pct"/>
            <w:tcBorders>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-30 dBm ≤ Output power ≤ 0 dBm</w:t>
            </w:r>
          </w:p>
        </w:tc>
        <w:tc>
          <w:tcPr>
            <w:tcW w:w="880" w:type="pct"/>
            <w:vMerge/>
            <w:tcBorders>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2F319B">
        <w:trPr>
          <w:trHeight w:val="206"/>
          <w:jc w:val="center"/>
        </w:trPr>
        <w:tc>
          <w:tcPr>
            <w:tcW w:w="666" w:type="pct"/>
            <w:vMerge/>
            <w:tcBorders>
              <w:right w:val="single" w:sz="4" w:space="0" w:color="auto"/>
            </w:tcBorders>
            <w:shd w:val="clear" w:color="auto" w:fill="auto"/>
            <w:vAlign w:val="center"/>
          </w:tcPr>
          <w:p w:rsidR="00A204ED" w:rsidRPr="00611CC4" w:rsidRDefault="00A204ED" w:rsidP="00751A09">
            <w:pPr>
              <w:spacing w:before="0" w:after="0"/>
              <w:rPr>
                <w:b/>
              </w:rPr>
            </w:pPr>
          </w:p>
        </w:tc>
        <w:tc>
          <w:tcPr>
            <w:tcW w:w="609" w:type="pct"/>
            <w:vMerge/>
            <w:tcBorders>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-10 – Z4</w:t>
            </w:r>
          </w:p>
        </w:tc>
        <w:tc>
          <w:tcPr>
            <w:tcW w:w="2177" w:type="pct"/>
            <w:tcBorders>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80" w:type="pct"/>
            <w:vMerge/>
            <w:tcBorders>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751A09">
        <w:trPr>
          <w:trHeight w:val="424"/>
          <w:jc w:val="center"/>
        </w:trPr>
        <w:tc>
          <w:tcPr>
            <w:tcW w:w="5000" w:type="pct"/>
            <w:gridSpan w:val="5"/>
            <w:tcBorders>
              <w:right w:val="single" w:sz="4" w:space="0" w:color="auto"/>
            </w:tcBorders>
            <w:shd w:val="clear" w:color="auto" w:fill="auto"/>
            <w:vAlign w:val="center"/>
          </w:tcPr>
          <w:p w:rsidR="00A204ED" w:rsidRPr="00943D04" w:rsidRDefault="00A204ED" w:rsidP="00751A09">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Pr="00844D93">
              <w:rPr>
                <w:rFonts w:cs="Arial"/>
                <w:sz w:val="16"/>
                <w:highlight w:val="yellow"/>
              </w:rPr>
              <w:t>W</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p w:rsidR="00A204ED" w:rsidRPr="00A204ED" w:rsidRDefault="00A204ED" w:rsidP="00751A09">
            <w:pPr>
              <w:pStyle w:val="TAN"/>
              <w:keepNext w:val="0"/>
              <w:keepLines w:val="0"/>
              <w:spacing w:before="0"/>
              <w:rPr>
                <w:rFonts w:cs="Arial"/>
                <w:sz w:val="16"/>
              </w:rPr>
            </w:pPr>
            <w:r w:rsidRPr="00A204ED">
              <w:rPr>
                <w:rFonts w:cs="Arial"/>
                <w:sz w:val="16"/>
              </w:rPr>
              <w:t>….</w:t>
            </w:r>
          </w:p>
          <w:p w:rsidR="00A204ED" w:rsidRPr="00611CC4" w:rsidRDefault="00A204ED" w:rsidP="00751A09">
            <w:pPr>
              <w:pStyle w:val="TAN"/>
              <w:keepNext w:val="0"/>
              <w:keepLines w:val="0"/>
              <w:spacing w:before="0"/>
              <w:rPr>
                <w:rFonts w:cs="Arial"/>
              </w:rPr>
            </w:pPr>
            <w:r w:rsidRPr="00A52C94">
              <w:rPr>
                <w:rFonts w:cs="Arial"/>
                <w:sz w:val="16"/>
                <w:highlight w:val="yellow"/>
              </w:rPr>
              <w:t xml:space="preserve">NOTE 11:  </w:t>
            </w:r>
            <w:r>
              <w:rPr>
                <w:rFonts w:cs="Arial"/>
                <w:sz w:val="16"/>
                <w:highlight w:val="yellow"/>
              </w:rPr>
              <w:t xml:space="preserve">  </w:t>
            </w:r>
            <w:r w:rsidRPr="00A52C94">
              <w:rPr>
                <w:rFonts w:cs="Arial"/>
                <w:sz w:val="16"/>
                <w:highlight w:val="yellow"/>
              </w:rPr>
              <w:t>W = 10 dB; X1 = 10 dB; X2 = 3/7/10 dB for 64QAM / 16QAM / QPSK; Z1 = Z2 = 10dB;  Z3 = Z4 = 0dB</w:t>
            </w:r>
          </w:p>
        </w:tc>
      </w:tr>
    </w:tbl>
    <w:p w:rsidR="002F319B" w:rsidRPr="00844D93" w:rsidRDefault="002F319B" w:rsidP="002F319B">
      <w:pPr>
        <w:spacing w:before="240"/>
        <w:ind w:left="1276" w:hanging="1276"/>
        <w:jc w:val="both"/>
        <w:rPr>
          <w:b/>
        </w:rPr>
      </w:pPr>
      <w:r w:rsidRPr="00844D93">
        <w:rPr>
          <w:b/>
        </w:rPr>
        <w:t>Proposal #</w:t>
      </w:r>
      <w:r>
        <w:rPr>
          <w:b/>
        </w:rPr>
        <w:t>2</w:t>
      </w:r>
      <w:r w:rsidRPr="00844D93">
        <w:rPr>
          <w:b/>
        </w:rPr>
        <w:t>:</w:t>
      </w:r>
      <w:r w:rsidRPr="00844D93">
        <w:rPr>
          <w:b/>
        </w:rPr>
        <w:tab/>
        <w:t xml:space="preserve">In NR V2X, the timing error between a UE and its synchronization reference is defined as </w:t>
      </w:r>
    </w:p>
    <w:p w:rsidR="002F319B" w:rsidRPr="00844D93" w:rsidRDefault="002F319B" w:rsidP="002F319B">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gNB synchronization reference: Reuse UL timing accuracy defined in TR 38.133 </w:t>
      </w:r>
    </w:p>
    <w:p w:rsidR="002F319B" w:rsidRPr="00844D93" w:rsidRDefault="002F319B" w:rsidP="002F319B">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GNSS synchronization reference: </w:t>
      </w:r>
      <w:r w:rsidRPr="00844D93">
        <w:rPr>
          <w:rFonts w:ascii="Times New Roman" w:eastAsia="SimSun" w:hAnsi="Times New Roman"/>
          <w:b/>
          <w:sz w:val="20"/>
          <w:szCs w:val="20"/>
          <w:lang w:val="en-GB"/>
        </w:rPr>
        <w:t>12*64*Tc</w:t>
      </w:r>
    </w:p>
    <w:p w:rsidR="00CD2B04" w:rsidRPr="00EC03EF" w:rsidRDefault="00CD2B04" w:rsidP="009C2D12">
      <w:pPr>
        <w:pStyle w:val="Heading1"/>
        <w:numPr>
          <w:ilvl w:val="0"/>
          <w:numId w:val="0"/>
        </w:numPr>
        <w:rPr>
          <w:lang w:val="en-US"/>
        </w:rPr>
      </w:pPr>
      <w:r w:rsidRPr="00EC03EF">
        <w:t>References</w:t>
      </w:r>
    </w:p>
    <w:p w:rsidR="00E41DB4" w:rsidRDefault="00E41DB4" w:rsidP="00023DD2">
      <w:pPr>
        <w:widowControl w:val="0"/>
        <w:numPr>
          <w:ilvl w:val="0"/>
          <w:numId w:val="8"/>
        </w:numPr>
        <w:jc w:val="both"/>
      </w:pPr>
      <w:r w:rsidRPr="003C4D14">
        <w:t>R1-1810006</w:t>
      </w:r>
      <w:r w:rsidRPr="00313BF9">
        <w:t xml:space="preserve"> “</w:t>
      </w:r>
      <w:r w:rsidRPr="003C4D14">
        <w:t>LS on IBE model for V2X</w:t>
      </w:r>
      <w:r w:rsidRPr="00313BF9">
        <w:t>”</w:t>
      </w:r>
      <w:r>
        <w:t>,</w:t>
      </w:r>
      <w:r w:rsidRPr="00313BF9">
        <w:t xml:space="preserve"> </w:t>
      </w:r>
      <w:r w:rsidRPr="003C4D14">
        <w:t>RAN WG1, Ericsson</w:t>
      </w:r>
      <w:r>
        <w:t>, RAN1 #94, August 2018</w:t>
      </w:r>
    </w:p>
    <w:p w:rsidR="0005456B" w:rsidRPr="0005456B" w:rsidRDefault="0005456B" w:rsidP="00023DD2">
      <w:pPr>
        <w:widowControl w:val="0"/>
        <w:numPr>
          <w:ilvl w:val="0"/>
          <w:numId w:val="8"/>
        </w:numPr>
        <w:jc w:val="both"/>
      </w:pPr>
      <w:r w:rsidRPr="0005456B">
        <w:t>R4-1814322</w:t>
      </w:r>
      <w:r>
        <w:t xml:space="preserve"> “</w:t>
      </w:r>
      <w:r w:rsidRPr="0005456B">
        <w:t>WF on NR V2X RF operating parameters based on RAN1 incoming LS</w:t>
      </w:r>
      <w:r>
        <w:t xml:space="preserve">”, </w:t>
      </w:r>
      <w:r w:rsidRPr="0005456B">
        <w:rPr>
          <w:lang w:val="en-US"/>
        </w:rPr>
        <w:t xml:space="preserve">LG Electronics, Ericsson, </w:t>
      </w:r>
      <w:r w:rsidRPr="0005456B">
        <w:rPr>
          <w:lang w:val="en-US"/>
        </w:rPr>
        <w:lastRenderedPageBreak/>
        <w:t>Intel, Huawei, CATT, Qualcomm</w:t>
      </w:r>
      <w:r>
        <w:rPr>
          <w:lang w:val="en-US"/>
        </w:rPr>
        <w:t>, RAN4 #88bis, October 2018</w:t>
      </w:r>
    </w:p>
    <w:p w:rsidR="00DF3E97" w:rsidRDefault="00DF3E97" w:rsidP="00023DD2">
      <w:pPr>
        <w:widowControl w:val="0"/>
        <w:numPr>
          <w:ilvl w:val="0"/>
          <w:numId w:val="8"/>
        </w:numPr>
        <w:jc w:val="both"/>
      </w:pPr>
      <w:r w:rsidRPr="00DF3E97">
        <w:t>R1-1808697</w:t>
      </w:r>
      <w:r>
        <w:t xml:space="preserve"> “</w:t>
      </w:r>
      <w:r w:rsidRPr="00DF3E97">
        <w:t>Remaining Aspects of eV2X Evaluation Methodology and Assumptions</w:t>
      </w:r>
      <w:r>
        <w:t>”, Intel Corporation, RAN1 #94, August 2018</w:t>
      </w:r>
    </w:p>
    <w:p w:rsidR="00F55C34" w:rsidRDefault="00F55C3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5" w:name="_Ref520882797"/>
      <w:r w:rsidRPr="008B5E3F">
        <w:rPr>
          <w:rFonts w:ascii="Times New Roman" w:eastAsia="SimSun" w:hAnsi="Times New Roman"/>
          <w:sz w:val="20"/>
          <w:szCs w:val="20"/>
        </w:rPr>
        <w:t>3GPP TR 36.843, “Study on LTE Device to Device Proximity Services</w:t>
      </w:r>
      <w:r>
        <w:rPr>
          <w:rFonts w:ascii="Times New Roman" w:eastAsia="SimSun" w:hAnsi="Times New Roman"/>
          <w:sz w:val="20"/>
          <w:szCs w:val="20"/>
        </w:rPr>
        <w:t>”, V12.0.1</w:t>
      </w:r>
    </w:p>
    <w:bookmarkEnd w:id="5"/>
    <w:p w:rsidR="00E41DB4" w:rsidRDefault="00E41DB4" w:rsidP="00023DD2">
      <w:pPr>
        <w:widowControl w:val="0"/>
        <w:numPr>
          <w:ilvl w:val="0"/>
          <w:numId w:val="8"/>
        </w:numPr>
        <w:jc w:val="both"/>
      </w:pPr>
      <w:r w:rsidRPr="00361739">
        <w:t>R4-140973</w:t>
      </w:r>
      <w:r>
        <w:t>, “</w:t>
      </w:r>
      <w:r w:rsidRPr="00361739">
        <w:t>AGC and Frequency Error for D2D</w:t>
      </w:r>
      <w:r>
        <w:t xml:space="preserve">”, Qualcomm, RAN4 #70, February 2014 </w:t>
      </w:r>
    </w:p>
    <w:p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21"/>
      <w:footerReference w:type="even" r:id="rId22"/>
      <w:footerReference w:type="default" r:id="rId2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8F3" w:rsidRDefault="00B428F3">
      <w:r>
        <w:separator/>
      </w:r>
    </w:p>
  </w:endnote>
  <w:endnote w:type="continuationSeparator" w:id="0">
    <w:p w:rsidR="00B428F3" w:rsidRDefault="00B428F3">
      <w:r>
        <w:continuationSeparator/>
      </w:r>
    </w:p>
  </w:endnote>
  <w:endnote w:type="continuationNotice" w:id="1">
    <w:p w:rsidR="00B428F3" w:rsidRDefault="00B428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F319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319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8F3" w:rsidRDefault="00B428F3">
      <w:r>
        <w:separator/>
      </w:r>
    </w:p>
  </w:footnote>
  <w:footnote w:type="continuationSeparator" w:id="0">
    <w:p w:rsidR="00B428F3" w:rsidRDefault="00B428F3">
      <w:r>
        <w:continuationSeparator/>
      </w:r>
    </w:p>
  </w:footnote>
  <w:footnote w:type="continuationNotice" w:id="1">
    <w:p w:rsidR="00B428F3" w:rsidRDefault="00B428F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9"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9"/>
  </w:num>
  <w:num w:numId="3">
    <w:abstractNumId w:val="11"/>
  </w:num>
  <w:num w:numId="4">
    <w:abstractNumId w:val="1"/>
  </w:num>
  <w:num w:numId="5">
    <w:abstractNumId w:val="7"/>
  </w:num>
  <w:num w:numId="6">
    <w:abstractNumId w:val="3"/>
  </w:num>
  <w:num w:numId="7">
    <w:abstractNumId w:val="17"/>
  </w:num>
  <w:num w:numId="8">
    <w:abstractNumId w:val="6"/>
  </w:num>
  <w:num w:numId="9">
    <w:abstractNumId w:val="5"/>
  </w:num>
  <w:num w:numId="10">
    <w:abstractNumId w:val="14"/>
  </w:num>
  <w:num w:numId="11">
    <w:abstractNumId w:val="16"/>
  </w:num>
  <w:num w:numId="12">
    <w:abstractNumId w:val="18"/>
  </w:num>
  <w:num w:numId="13">
    <w:abstractNumId w:val="20"/>
  </w:num>
  <w:num w:numId="14">
    <w:abstractNumId w:val="15"/>
  </w:num>
  <w:num w:numId="15">
    <w:abstractNumId w:val="2"/>
  </w:num>
  <w:num w:numId="16">
    <w:abstractNumId w:val="21"/>
  </w:num>
  <w:num w:numId="17">
    <w:abstractNumId w:val="22"/>
  </w:num>
  <w:num w:numId="18">
    <w:abstractNumId w:val="13"/>
  </w:num>
  <w:num w:numId="19">
    <w:abstractNumId w:val="12"/>
  </w:num>
  <w:num w:numId="20">
    <w:abstractNumId w:val="19"/>
  </w:num>
  <w:num w:numId="21">
    <w:abstractNumId w:val="8"/>
  </w:num>
  <w:num w:numId="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E9147C8-D263-4E19-80BE-34677637EB40}">
  <ds:schemaRefs>
    <ds:schemaRef ds:uri="http://schemas.openxmlformats.org/officeDocument/2006/bibliography"/>
  </ds:schemaRefs>
</ds:datastoreItem>
</file>

<file path=customXml/itemProps5.xml><?xml version="1.0" encoding="utf-8"?>
<ds:datastoreItem xmlns:ds="http://schemas.openxmlformats.org/officeDocument/2006/customXml" ds:itemID="{5B65EDAD-B92A-4305-82D2-4F917D9A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2212</Words>
  <Characters>10557</Characters>
  <Application>Microsoft Office Word</Application>
  <DocSecurity>0</DocSecurity>
  <Lines>340</Lines>
  <Paragraphs>255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Intel user</cp:lastModifiedBy>
  <cp:revision>12</cp:revision>
  <cp:lastPrinted>2016-11-03T01:40:00Z</cp:lastPrinted>
  <dcterms:created xsi:type="dcterms:W3CDTF">2018-11-01T20:34:00Z</dcterms:created>
  <dcterms:modified xsi:type="dcterms:W3CDTF">2018-11-02T17:51:00Z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2018-11-02 17:51:51Z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